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88D58">
      <w:pPr>
        <w:spacing w:line="360" w:lineRule="auto"/>
        <w:ind w:firstLine="437"/>
        <w:outlineLvl w:val="1"/>
        <w:rPr>
          <w:rFonts w:hint="eastAsia" w:ascii="宋体" w:hAnsi="宋体" w:eastAsia="宋体"/>
          <w:b/>
          <w:color w:val="auto"/>
          <w:sz w:val="24"/>
          <w:szCs w:val="18"/>
          <w:highlight w:val="none"/>
          <w:lang w:val="en-US" w:eastAsia="zh-CN"/>
        </w:rPr>
      </w:pPr>
      <w:bookmarkStart w:id="0" w:name="_Toc2554"/>
      <w:bookmarkStart w:id="1" w:name="_Toc32151"/>
      <w:r>
        <w:rPr>
          <w:rFonts w:hint="eastAsia" w:ascii="宋体" w:hAnsi="宋体" w:eastAsia="宋体"/>
          <w:b/>
          <w:color w:val="auto"/>
          <w:sz w:val="24"/>
          <w:szCs w:val="18"/>
          <w:highlight w:val="none"/>
          <w:lang w:val="en-US" w:eastAsia="zh-CN"/>
        </w:rPr>
        <w:t>附件1：</w:t>
      </w:r>
    </w:p>
    <w:p w14:paraId="1B02B2EC">
      <w:pPr>
        <w:spacing w:line="360" w:lineRule="auto"/>
        <w:ind w:firstLine="437"/>
        <w:jc w:val="center"/>
        <w:outlineLvl w:val="1"/>
        <w:rPr>
          <w:rFonts w:hint="default" w:ascii="宋体" w:hAnsi="宋体" w:eastAsia="宋体"/>
          <w:b/>
          <w:color w:val="auto"/>
          <w:sz w:val="28"/>
          <w:szCs w:val="20"/>
          <w:highlight w:val="none"/>
          <w:lang w:val="en-US" w:eastAsia="zh-CN"/>
        </w:rPr>
      </w:pPr>
      <w:r>
        <w:rPr>
          <w:rFonts w:hint="eastAsia" w:ascii="宋体" w:hAnsi="宋体" w:eastAsia="宋体"/>
          <w:b/>
          <w:color w:val="auto"/>
          <w:sz w:val="28"/>
          <w:szCs w:val="20"/>
          <w:highlight w:val="none"/>
        </w:rPr>
        <w:t>安徽中医药大学少荃湖校区教学楼空调采购安装项目</w:t>
      </w:r>
      <w:r>
        <w:rPr>
          <w:rFonts w:hint="eastAsia" w:ascii="宋体" w:hAnsi="宋体" w:eastAsia="宋体"/>
          <w:b/>
          <w:color w:val="auto"/>
          <w:sz w:val="28"/>
          <w:szCs w:val="20"/>
          <w:highlight w:val="none"/>
          <w:lang w:val="en-US" w:eastAsia="zh-CN"/>
        </w:rPr>
        <w:t>采购需求</w:t>
      </w:r>
    </w:p>
    <w:p w14:paraId="46741DDA">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bookmarkEnd w:id="0"/>
      <w:bookmarkEnd w:id="1"/>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F9F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296872">
            <w:pPr>
              <w:pStyle w:val="1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6A5849DD">
            <w:pPr>
              <w:pStyle w:val="1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4EE67415">
            <w:pPr>
              <w:pStyle w:val="1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82D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2BF3395">
            <w:pPr>
              <w:pStyle w:val="1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094D6B9">
            <w:pPr>
              <w:pStyle w:val="12"/>
              <w:widowControl w:val="0"/>
              <w:spacing w:before="0" w:beforeAutospacing="0" w:after="0" w:afterAutospacing="0" w:line="360" w:lineRule="auto"/>
              <w:jc w:val="center"/>
              <w:rPr>
                <w:rFonts w:hint="eastAsia" w:ascii="宋体" w:hAnsi="宋体" w:eastAsia="宋体" w:cs="@仿宋_GB2312"/>
                <w:b w:val="0"/>
                <w:bCs/>
                <w:kern w:val="0"/>
                <w:sz w:val="24"/>
                <w:szCs w:val="28"/>
                <w:highlight w:val="none"/>
                <w:lang w:val="en-US" w:eastAsia="zh-CN" w:bidi="ar-SA"/>
              </w:rPr>
            </w:pPr>
            <w:r>
              <w:rPr>
                <w:rFonts w:hint="eastAsia" w:ascii="宋体" w:hAnsi="宋体" w:eastAsia="宋体" w:cs="@仿宋_GB2312"/>
                <w:b w:val="0"/>
                <w:bCs/>
                <w:kern w:val="0"/>
                <w:sz w:val="24"/>
                <w:szCs w:val="28"/>
                <w:highlight w:val="none"/>
                <w:lang w:val="en-US" w:eastAsia="zh-CN" w:bidi="ar-SA"/>
              </w:rPr>
              <w:t>付款方式</w:t>
            </w:r>
          </w:p>
        </w:tc>
        <w:tc>
          <w:tcPr>
            <w:tcW w:w="3217" w:type="pct"/>
            <w:vAlign w:val="center"/>
          </w:tcPr>
          <w:p w14:paraId="59CE9190">
            <w:pPr>
              <w:pStyle w:val="12"/>
              <w:widowControl w:val="0"/>
              <w:spacing w:before="0" w:beforeAutospacing="0" w:after="0" w:afterAutospacing="0" w:line="360" w:lineRule="auto"/>
              <w:jc w:val="both"/>
              <w:rPr>
                <w:rFonts w:hint="eastAsia" w:ascii="宋体" w:hAnsi="宋体" w:eastAsia="宋体" w:cs="@仿宋_GB2312"/>
                <w:b w:val="0"/>
                <w:bCs/>
                <w:kern w:val="0"/>
                <w:sz w:val="24"/>
                <w:szCs w:val="28"/>
                <w:highlight w:val="none"/>
                <w:lang w:val="en-US" w:eastAsia="zh-CN" w:bidi="ar-SA"/>
              </w:rPr>
            </w:pPr>
            <w:r>
              <w:rPr>
                <w:rFonts w:hint="eastAsia" w:ascii="宋体" w:hAnsi="宋体" w:eastAsia="宋体" w:cs="@仿宋_GB2312"/>
                <w:b w:val="0"/>
                <w:bCs/>
                <w:kern w:val="0"/>
                <w:sz w:val="24"/>
                <w:szCs w:val="28"/>
                <w:highlight w:val="none"/>
                <w:lang w:val="en-US" w:eastAsia="zh-CN" w:bidi="ar-SA"/>
              </w:rPr>
              <w:t>供货及安装完成且验收合格后一次性付清合同价款。</w:t>
            </w:r>
          </w:p>
        </w:tc>
      </w:tr>
      <w:tr w14:paraId="2297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5FC7AD1">
            <w:pPr>
              <w:pStyle w:val="1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6B5A2A93">
            <w:pPr>
              <w:pStyle w:val="1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4DB00BFC">
            <w:pPr>
              <w:pStyle w:val="1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仿宋_GB2312"/>
                <w:b w:val="0"/>
                <w:bCs/>
                <w:kern w:val="0"/>
                <w:sz w:val="24"/>
                <w:szCs w:val="28"/>
                <w:highlight w:val="none"/>
                <w:lang w:val="en-US" w:eastAsia="zh-CN" w:bidi="ar-SA"/>
              </w:rPr>
              <w:t>合肥市新站区安徽中医药大学，招标人指定地点</w:t>
            </w:r>
          </w:p>
        </w:tc>
      </w:tr>
      <w:tr w14:paraId="63D3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00E8105">
            <w:pPr>
              <w:pStyle w:val="1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DE31A56">
            <w:pPr>
              <w:pStyle w:val="12"/>
              <w:widowControl w:val="0"/>
              <w:spacing w:before="0" w:beforeAutospacing="0" w:after="0" w:afterAutospacing="0" w:line="360" w:lineRule="auto"/>
              <w:jc w:val="both"/>
              <w:rPr>
                <w:rFonts w:hint="eastAsia" w:ascii="宋体" w:hAnsi="宋体" w:eastAsia="宋体" w:cs="@仿宋_GB2312"/>
                <w:b w:val="0"/>
                <w:bCs/>
                <w:kern w:val="0"/>
                <w:sz w:val="24"/>
                <w:szCs w:val="28"/>
                <w:highlight w:val="none"/>
                <w:lang w:val="en-US" w:eastAsia="zh-CN" w:bidi="ar-SA"/>
              </w:rPr>
            </w:pPr>
            <w:r>
              <w:rPr>
                <w:rFonts w:hint="eastAsia" w:ascii="宋体" w:hAnsi="宋体" w:eastAsia="宋体" w:cs="@仿宋_GB2312"/>
                <w:b w:val="0"/>
                <w:bCs/>
                <w:kern w:val="0"/>
                <w:sz w:val="24"/>
                <w:szCs w:val="28"/>
                <w:highlight w:val="none"/>
                <w:lang w:val="en-US" w:eastAsia="zh-CN" w:bidi="ar-SA"/>
              </w:rPr>
              <w:t>供货及安装期限</w:t>
            </w:r>
          </w:p>
        </w:tc>
        <w:tc>
          <w:tcPr>
            <w:tcW w:w="3217" w:type="pct"/>
            <w:vAlign w:val="center"/>
          </w:tcPr>
          <w:p w14:paraId="66450FC0">
            <w:pPr>
              <w:pStyle w:val="12"/>
              <w:widowControl w:val="0"/>
              <w:spacing w:before="0" w:beforeAutospacing="0" w:after="0" w:afterAutospacing="0" w:line="360" w:lineRule="auto"/>
              <w:jc w:val="both"/>
              <w:rPr>
                <w:rFonts w:hint="eastAsia" w:ascii="宋体" w:hAnsi="宋体" w:eastAsia="宋体" w:cs="@仿宋_GB2312"/>
                <w:b w:val="0"/>
                <w:bCs/>
                <w:kern w:val="0"/>
                <w:sz w:val="24"/>
                <w:szCs w:val="28"/>
                <w:highlight w:val="none"/>
                <w:lang w:val="en-US" w:eastAsia="zh-CN" w:bidi="ar-SA"/>
              </w:rPr>
            </w:pPr>
            <w:r>
              <w:rPr>
                <w:rFonts w:hint="eastAsia" w:ascii="宋体" w:hAnsi="宋体" w:eastAsia="宋体" w:cs="@仿宋_GB2312"/>
                <w:b w:val="0"/>
                <w:bCs/>
                <w:kern w:val="0"/>
                <w:sz w:val="24"/>
                <w:szCs w:val="28"/>
                <w:highlight w:val="none"/>
                <w:lang w:val="en-US" w:eastAsia="zh-CN" w:bidi="ar-SA"/>
              </w:rPr>
              <w:t>自合同签订之日起35天内完成设备安装、调试（货物需求另有规定的，以货物需求为准）。</w:t>
            </w:r>
          </w:p>
        </w:tc>
      </w:tr>
      <w:tr w14:paraId="1ADE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67C8CFC">
            <w:pPr>
              <w:pStyle w:val="1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7FD97570">
            <w:pPr>
              <w:pStyle w:val="1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EEF2438">
            <w:pPr>
              <w:pStyle w:val="1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仿宋_GB2312"/>
                <w:b w:val="0"/>
                <w:bCs/>
                <w:kern w:val="0"/>
                <w:sz w:val="24"/>
                <w:szCs w:val="28"/>
                <w:highlight w:val="none"/>
                <w:lang w:val="en-US" w:eastAsia="zh-CN" w:bidi="ar-SA"/>
              </w:rPr>
              <w:t>所有设备及安装自最终验收合格之日起，整体免费质保期为5年。对于压缩机、变频器、系统控制器等核心部件，免费质保期为5年。(货物需求中有特殊要求的，按照货物需求中的要求执行)。</w:t>
            </w:r>
          </w:p>
        </w:tc>
      </w:tr>
    </w:tbl>
    <w:p w14:paraId="6C195ABC">
      <w:pPr>
        <w:ind w:firstLine="482" w:firstLineChars="200"/>
        <w:rPr>
          <w:rFonts w:hint="eastAsia" w:ascii="宋体" w:hAnsi="宋体" w:eastAsia="宋体"/>
          <w:b/>
          <w:bCs/>
          <w:color w:val="auto"/>
          <w:sz w:val="24"/>
          <w:szCs w:val="18"/>
          <w:highlight w:val="none"/>
        </w:rPr>
      </w:pPr>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lang w:eastAsia="zh-CN"/>
        </w:rPr>
        <w:t>项目概况</w:t>
      </w:r>
    </w:p>
    <w:p w14:paraId="36AF0FD5">
      <w:pPr>
        <w:widowControl w:val="0"/>
        <w:numPr>
          <w:ilvl w:val="0"/>
          <w:numId w:val="0"/>
        </w:numPr>
        <w:spacing w:line="360" w:lineRule="auto"/>
        <w:ind w:firstLine="481"/>
        <w:jc w:val="both"/>
        <w:outlineLvl w:val="1"/>
        <w:rPr>
          <w:rFonts w:hint="eastAsia" w:ascii="宋体" w:hAnsi="宋体" w:eastAsia="宋体" w:cs="@仿宋_GB2312"/>
          <w:b w:val="0"/>
          <w:bCs/>
          <w:kern w:val="0"/>
          <w:sz w:val="24"/>
          <w:szCs w:val="28"/>
          <w:highlight w:val="none"/>
          <w:lang w:val="en-US" w:eastAsia="zh-CN" w:bidi="ar-SA"/>
        </w:rPr>
      </w:pPr>
      <w:r>
        <w:rPr>
          <w:rFonts w:hint="eastAsia" w:ascii="宋体" w:hAnsi="宋体" w:eastAsia="宋体" w:cs="@仿宋_GB2312"/>
          <w:b w:val="0"/>
          <w:bCs/>
          <w:kern w:val="0"/>
          <w:sz w:val="24"/>
          <w:szCs w:val="28"/>
          <w:highlight w:val="none"/>
          <w:lang w:val="en-US" w:eastAsia="zh-CN" w:bidi="ar-SA"/>
        </w:rPr>
        <w:t>本项目位于安徽省合肥市新站区安徽中医药大学少荃湖校区，拟对校区内约60间教学楼教室实施多联式空调系统安装，覆盖总面积约10,000㎡。每间教室层高约4m，单间面积约160㎡。项目采购内容为多联式空调系统采购安装，包括但不限于多联式室外机、室内机的供货与安装；冷媒管路系统、冷凝水管路系统的敷设与连接；空调专用配电系统（含配电箱、电缆及保护管）建设；智能用电管控系统（含智能断路器、负荷监控终端、数据网关等）的安装、接线与调试，并接入校方现有物联管控平台实现远程集中管控与用电计量；以及系统整体调试、试运行、验收及质保期内的售后维保服务等设计图纸及工程量清单范围内的全部内容。</w:t>
      </w:r>
    </w:p>
    <w:p w14:paraId="28BFF212">
      <w:pPr>
        <w:numPr>
          <w:ilvl w:val="0"/>
          <w:numId w:val="0"/>
        </w:numPr>
        <w:spacing w:line="360" w:lineRule="auto"/>
        <w:ind w:firstLine="482" w:firstLineChars="200"/>
        <w:outlineLvl w:val="1"/>
        <w:rPr>
          <w:rFonts w:hint="eastAsia" w:ascii="宋体" w:hAnsi="宋体" w:eastAsia="宋体"/>
          <w:b/>
          <w:bCs/>
          <w:color w:val="auto"/>
          <w:sz w:val="24"/>
          <w:szCs w:val="18"/>
          <w:highlight w:val="none"/>
        </w:rPr>
      </w:pPr>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p>
    <w:tbl>
      <w:tblPr>
        <w:tblStyle w:val="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116"/>
        <w:gridCol w:w="3284"/>
        <w:gridCol w:w="1164"/>
        <w:gridCol w:w="453"/>
        <w:gridCol w:w="1082"/>
        <w:gridCol w:w="695"/>
      </w:tblGrid>
      <w:tr w14:paraId="1F9D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6ADA0345">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5" w:type="pct"/>
            <w:vAlign w:val="center"/>
          </w:tcPr>
          <w:p w14:paraId="20895DA3">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927" w:type="pct"/>
            <w:vAlign w:val="center"/>
          </w:tcPr>
          <w:p w14:paraId="213DDACF">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83" w:type="pct"/>
            <w:vAlign w:val="center"/>
          </w:tcPr>
          <w:p w14:paraId="03BD2052">
            <w:pPr>
              <w:spacing w:line="360" w:lineRule="auto"/>
              <w:jc w:val="cente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64DAA81A">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266" w:type="pct"/>
            <w:vAlign w:val="center"/>
          </w:tcPr>
          <w:p w14:paraId="5F7209BC">
            <w:pPr>
              <w:spacing w:line="360" w:lineRule="auto"/>
              <w:jc w:val="cente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7E46855C">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635" w:type="pct"/>
            <w:vAlign w:val="center"/>
          </w:tcPr>
          <w:p w14:paraId="31425A1A">
            <w:pPr>
              <w:spacing w:line="360" w:lineRule="auto"/>
              <w:jc w:val="center"/>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408" w:type="pct"/>
            <w:vAlign w:val="center"/>
          </w:tcPr>
          <w:p w14:paraId="1CF36F66">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0937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22" w:type="pct"/>
            <w:vAlign w:val="center"/>
          </w:tcPr>
          <w:p w14:paraId="2688F0DB">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655" w:type="pct"/>
            <w:vAlign w:val="center"/>
          </w:tcPr>
          <w:p w14:paraId="6D21FE9D">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顶出风多联机室外机</w:t>
            </w:r>
          </w:p>
        </w:tc>
        <w:tc>
          <w:tcPr>
            <w:tcW w:w="1927" w:type="pct"/>
            <w:vAlign w:val="center"/>
          </w:tcPr>
          <w:p w14:paraId="526D1806">
            <w:pPr>
              <w:numPr>
                <w:ilvl w:val="0"/>
                <w:numId w:val="1"/>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风量≥29000m3/h；</w:t>
            </w:r>
          </w:p>
          <w:p w14:paraId="2B8E7E8F">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w:t>
            </w:r>
            <w:r>
              <w:rPr>
                <w:rFonts w:hint="default" w:ascii="宋体" w:hAnsi="宋体" w:eastAsia="宋体"/>
                <w:bCs/>
                <w:color w:val="auto"/>
                <w:sz w:val="24"/>
                <w:szCs w:val="18"/>
                <w:highlight w:val="none"/>
                <w:lang w:val="en-US" w:eastAsia="zh-CN"/>
              </w:rPr>
              <w:t>制冷量</w:t>
            </w:r>
            <w:r>
              <w:rPr>
                <w:rFonts w:hint="eastAsia" w:ascii="宋体" w:hAnsi="宋体" w:eastAsia="宋体"/>
                <w:bCs/>
                <w:color w:val="auto"/>
                <w:sz w:val="24"/>
                <w:szCs w:val="18"/>
                <w:highlight w:val="none"/>
                <w:lang w:val="en-US" w:eastAsia="zh-CN"/>
              </w:rPr>
              <w:t>≥78.5kW（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0F7F86FB">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制冷功率</w:t>
            </w:r>
            <w:r>
              <w:rPr>
                <w:rFonts w:hint="eastAsia"/>
                <w:lang w:val="en-US" w:eastAsia="zh-CN"/>
              </w:rPr>
              <w:t>≤</w:t>
            </w:r>
            <w:r>
              <w:rPr>
                <w:rFonts w:hint="eastAsia" w:ascii="宋体" w:hAnsi="宋体" w:eastAsia="宋体"/>
                <w:bCs/>
                <w:color w:val="auto"/>
                <w:sz w:val="24"/>
                <w:szCs w:val="18"/>
                <w:highlight w:val="none"/>
                <w:lang w:val="en-US" w:eastAsia="zh-CN"/>
              </w:rPr>
              <w:t>20.50kW；</w:t>
            </w:r>
          </w:p>
          <w:p w14:paraId="7DC048C0">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★制热量≥87.5kW（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5E6F2ECE">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制热功率</w:t>
            </w:r>
            <w:r>
              <w:rPr>
                <w:rFonts w:hint="eastAsia"/>
                <w:lang w:val="en-US" w:eastAsia="zh-CN"/>
              </w:rPr>
              <w:t>≤</w:t>
            </w:r>
            <w:r>
              <w:rPr>
                <w:rFonts w:hint="eastAsia" w:ascii="宋体" w:hAnsi="宋体" w:eastAsia="宋体"/>
                <w:bCs/>
                <w:color w:val="auto"/>
                <w:sz w:val="24"/>
                <w:szCs w:val="18"/>
                <w:highlight w:val="none"/>
                <w:lang w:val="en-US" w:eastAsia="zh-CN"/>
              </w:rPr>
              <w:t>20.10kW；</w:t>
            </w:r>
          </w:p>
          <w:p w14:paraId="3AFBBD72">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冷媒种类：R410A环保冷媒；</w:t>
            </w:r>
          </w:p>
          <w:p w14:paraId="09F50B07">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★APF值≥4.80（投标文件提供能效标识网备案截图佐证）；</w:t>
            </w:r>
          </w:p>
          <w:p w14:paraId="3A5D8ED5">
            <w:pPr>
              <w:numPr>
                <w:ilvl w:val="0"/>
                <w:numId w:val="1"/>
              </w:numPr>
              <w:spacing w:line="360" w:lineRule="auto"/>
              <w:jc w:val="left"/>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噪音（冷/暖）≤63/63dB(A)；</w:t>
            </w:r>
          </w:p>
          <w:p w14:paraId="33217DEB">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具备全直流变频多联空调设备，单模块型式，压缩机需全部采用全直流变频喷气增焓压缩机（一台压缩机对应一台变频控制器），具备时间均衡运转功能，能顺序启动，并能自动轮换。冷凝风扇电机为高效率直流电机、采用直流变速控制；</w:t>
            </w:r>
          </w:p>
          <w:p w14:paraId="3145D0F5">
            <w:pPr>
              <w:numPr>
                <w:ilvl w:val="0"/>
                <w:numId w:val="1"/>
              </w:numPr>
              <w:spacing w:line="360" w:lineRule="auto"/>
              <w:jc w:val="left"/>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具备全直流变频喷气增焓压缩机。直流变频压缩机产品其压缩机驱动及室外机风扇电机驱动采用直流变频技术；</w:t>
            </w:r>
          </w:p>
          <w:p w14:paraId="7C183B9D">
            <w:pPr>
              <w:numPr>
                <w:ilvl w:val="0"/>
                <w:numId w:val="1"/>
              </w:numPr>
              <w:spacing w:line="360" w:lineRule="auto"/>
              <w:jc w:val="left"/>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室外机运行温度宽广，高温制冷温度可达≥55°C，低温制热温度低至≤-30°C；</w:t>
            </w:r>
          </w:p>
          <w:p w14:paraId="2FEAFDA0">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机组采用全密闭电控盒，防护等级≥IP55；</w:t>
            </w:r>
          </w:p>
          <w:p w14:paraId="1822FA28">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电控环境稳定，电控采用冷媒冷却散热；</w:t>
            </w:r>
          </w:p>
          <w:p w14:paraId="44C00C71">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具备良好的散热效果；侧出风多联机静压值≥80Pa，顶出风多联机静压值≥120Pa；</w:t>
            </w:r>
          </w:p>
          <w:p w14:paraId="4AC4B144">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空调系统配管总长≥1000m，最远配管等效长度≥200m，室外机在室内机上方时最大允许落差≥110米，室内机之间最大允许落差≥40米；</w:t>
            </w:r>
          </w:p>
          <w:p w14:paraId="1EECA018">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机组内、外机防腐蚀能力≥WF2级；</w:t>
            </w:r>
          </w:p>
          <w:p w14:paraId="7349EE14">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当系统冷负荷变化或室内机使用台数变化时，空调系统具备自动调节室外机的运行工况及启、停状态，实现多联机负荷自适应功能；</w:t>
            </w:r>
          </w:p>
          <w:p w14:paraId="3E943DA2">
            <w:pPr>
              <w:numPr>
                <w:ilvl w:val="0"/>
                <w:numId w:val="1"/>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机组具备通讯线任意拓扑能力，通讯线抗干扰、断电条件下关阀能力，满足机组信号线之间任意连接，室内机掉电不影响整个系统的运行，满足机组的安装运行稳定性。</w:t>
            </w:r>
          </w:p>
        </w:tc>
        <w:tc>
          <w:tcPr>
            <w:tcW w:w="683" w:type="pct"/>
            <w:vAlign w:val="center"/>
          </w:tcPr>
          <w:p w14:paraId="74A17C7B">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台</w:t>
            </w:r>
          </w:p>
        </w:tc>
        <w:tc>
          <w:tcPr>
            <w:tcW w:w="266" w:type="pct"/>
            <w:vAlign w:val="center"/>
          </w:tcPr>
          <w:p w14:paraId="228A3AC1">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工业</w:t>
            </w:r>
          </w:p>
        </w:tc>
        <w:tc>
          <w:tcPr>
            <w:tcW w:w="635" w:type="pct"/>
            <w:vAlign w:val="center"/>
          </w:tcPr>
          <w:p w14:paraId="3D0CD1EB">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否</w:t>
            </w:r>
          </w:p>
        </w:tc>
        <w:tc>
          <w:tcPr>
            <w:tcW w:w="408" w:type="pct"/>
            <w:vAlign w:val="center"/>
          </w:tcPr>
          <w:p w14:paraId="455C5E49">
            <w:pPr>
              <w:spacing w:line="360" w:lineRule="auto"/>
              <w:jc w:val="center"/>
              <w:rPr>
                <w:rFonts w:ascii="宋体" w:hAnsi="宋体" w:eastAsia="宋体"/>
                <w:bCs/>
                <w:color w:val="auto"/>
                <w:sz w:val="24"/>
                <w:szCs w:val="18"/>
                <w:highlight w:val="none"/>
              </w:rPr>
            </w:pPr>
          </w:p>
        </w:tc>
      </w:tr>
      <w:tr w14:paraId="217E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3E548B01">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2</w:t>
            </w:r>
          </w:p>
        </w:tc>
        <w:tc>
          <w:tcPr>
            <w:tcW w:w="655" w:type="pct"/>
            <w:vAlign w:val="center"/>
          </w:tcPr>
          <w:p w14:paraId="550EB195">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顶出风多联机室外机</w:t>
            </w:r>
          </w:p>
        </w:tc>
        <w:tc>
          <w:tcPr>
            <w:tcW w:w="1927" w:type="pct"/>
            <w:vAlign w:val="center"/>
          </w:tcPr>
          <w:p w14:paraId="0DC341FE">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1.风量≥28300m3/h；</w:t>
            </w:r>
          </w:p>
          <w:p w14:paraId="7C478BA0">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w:t>
            </w:r>
            <w:r>
              <w:rPr>
                <w:rFonts w:hint="default" w:ascii="宋体" w:hAnsi="宋体" w:eastAsia="宋体"/>
                <w:bCs/>
                <w:color w:val="auto"/>
                <w:sz w:val="24"/>
                <w:szCs w:val="18"/>
                <w:highlight w:val="none"/>
                <w:lang w:val="en-US" w:eastAsia="zh-CN"/>
              </w:rPr>
              <w:t>制冷量</w:t>
            </w:r>
            <w:r>
              <w:rPr>
                <w:rFonts w:hint="eastAsia" w:ascii="宋体" w:hAnsi="宋体" w:eastAsia="宋体"/>
                <w:bCs/>
                <w:color w:val="auto"/>
                <w:sz w:val="24"/>
                <w:szCs w:val="18"/>
                <w:highlight w:val="none"/>
                <w:lang w:val="en-US" w:eastAsia="zh-CN"/>
              </w:rPr>
              <w:t>≥95.4kW（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0F167F09">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3.制冷功率</w:t>
            </w:r>
            <w:r>
              <w:rPr>
                <w:rFonts w:hint="eastAsia"/>
                <w:lang w:val="en-US" w:eastAsia="zh-CN"/>
              </w:rPr>
              <w:t>≤</w:t>
            </w:r>
            <w:r>
              <w:rPr>
                <w:rFonts w:hint="eastAsia" w:ascii="宋体" w:hAnsi="宋体" w:eastAsia="宋体"/>
                <w:bCs/>
                <w:color w:val="auto"/>
                <w:sz w:val="24"/>
                <w:szCs w:val="18"/>
                <w:highlight w:val="none"/>
                <w:lang w:val="en-US" w:eastAsia="zh-CN"/>
              </w:rPr>
              <w:t>25.20kW；</w:t>
            </w:r>
          </w:p>
          <w:p w14:paraId="2652255D">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4.★制热量≥106.5kW（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4871C234">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5.制热功率</w:t>
            </w:r>
            <w:r>
              <w:rPr>
                <w:rFonts w:hint="eastAsia"/>
                <w:lang w:val="en-US" w:eastAsia="zh-CN"/>
              </w:rPr>
              <w:t>≤</w:t>
            </w:r>
            <w:r>
              <w:rPr>
                <w:rFonts w:hint="eastAsia" w:ascii="宋体" w:hAnsi="宋体" w:eastAsia="宋体"/>
                <w:bCs/>
                <w:color w:val="auto"/>
                <w:sz w:val="24"/>
                <w:szCs w:val="18"/>
                <w:highlight w:val="none"/>
                <w:lang w:val="en-US" w:eastAsia="zh-CN"/>
              </w:rPr>
              <w:t>25.20kW；</w:t>
            </w:r>
          </w:p>
          <w:p w14:paraId="10B5103A">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6.冷媒种类：R410A环保冷媒；</w:t>
            </w:r>
          </w:p>
          <w:p w14:paraId="2F6952C8">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7.★APF值≥4.70（投标文件提供能效标识网备案截图佐证）；</w:t>
            </w:r>
          </w:p>
          <w:p w14:paraId="61456CD3">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8.噪音（冷/暖）≤66/66dB(A)；</w:t>
            </w:r>
          </w:p>
          <w:p w14:paraId="0F126552">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9.具备全直流变频多联空调设备，单模块型式，压缩机需全部采用全直流变频喷气增焓压缩机（一台压缩机对应一台变频控制器），具备时间均衡运转功能，能顺序启动，并能自动轮换。冷凝风扇电机为高效率直流电机、采用直流变速控制；</w:t>
            </w:r>
          </w:p>
          <w:p w14:paraId="75A1D5AD">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10.具备全直流变频喷气增焓压缩机。直流变频压缩机产品其压缩机驱动及室外机风扇电机驱动采用直流变频技术；</w:t>
            </w:r>
          </w:p>
          <w:p w14:paraId="31D91FAC">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11.室外机运行温度宽广，高温制冷温度可达≥55°C，低温制热温度低至≤-30°C；</w:t>
            </w:r>
          </w:p>
          <w:p w14:paraId="569E75FB">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12.机组采用全密闭电控盒，防护等级≥IP55；</w:t>
            </w:r>
          </w:p>
          <w:p w14:paraId="3B3BFF53">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13.电控环境稳定，电控采用冷媒冷却散热；</w:t>
            </w:r>
          </w:p>
          <w:p w14:paraId="5677A71E">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14.具备良好的散热效果；侧出风多联机静压值≥80Pa，顶出风多联机静压值≥120Pa；</w:t>
            </w:r>
          </w:p>
          <w:p w14:paraId="745AE87B">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15.空调系统配管总长≥1000m，最远配管等效长度≥200m，室外机在室内机上方时最大允许落差≥110米，室内机之间最大允许落差≥40米；</w:t>
            </w:r>
          </w:p>
          <w:p w14:paraId="5C806FA8">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16.机组内、外机防腐蚀能力≥WF2级；</w:t>
            </w:r>
          </w:p>
          <w:p w14:paraId="405BF213">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17.当系统冷负荷变化或室内机使用台数变化时，空调系统具备自动调节室外机的运行工况及启、停状态，实现多联机负荷自适应功能；</w:t>
            </w:r>
          </w:p>
          <w:p w14:paraId="0386BF8E">
            <w:p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18.机组具备通讯线任意拓扑能力，通讯线抗干扰、断电条件下关阀能力，满足机组信号线之间任意连接，室内机掉电不影响整个系统的运行，满足机组的安装运行稳定性。</w:t>
            </w:r>
          </w:p>
        </w:tc>
        <w:tc>
          <w:tcPr>
            <w:tcW w:w="683" w:type="pct"/>
            <w:vAlign w:val="center"/>
          </w:tcPr>
          <w:p w14:paraId="0D779D52">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w:t>
            </w:r>
            <w:r>
              <w:rPr>
                <w:rFonts w:hint="eastAsia" w:ascii="宋体" w:hAnsi="宋体" w:eastAsia="宋体"/>
                <w:bCs/>
                <w:color w:val="auto"/>
                <w:sz w:val="24"/>
                <w:szCs w:val="18"/>
                <w:highlight w:val="none"/>
              </w:rPr>
              <w:t>台</w:t>
            </w:r>
          </w:p>
        </w:tc>
        <w:tc>
          <w:tcPr>
            <w:tcW w:w="266" w:type="pct"/>
            <w:vAlign w:val="center"/>
          </w:tcPr>
          <w:p w14:paraId="0F1F10CA">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工业</w:t>
            </w:r>
          </w:p>
        </w:tc>
        <w:tc>
          <w:tcPr>
            <w:tcW w:w="635" w:type="pct"/>
            <w:vAlign w:val="center"/>
          </w:tcPr>
          <w:p w14:paraId="4574953F">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否</w:t>
            </w:r>
          </w:p>
        </w:tc>
        <w:tc>
          <w:tcPr>
            <w:tcW w:w="408" w:type="pct"/>
            <w:vAlign w:val="center"/>
          </w:tcPr>
          <w:p w14:paraId="59CD797A">
            <w:pPr>
              <w:spacing w:line="360" w:lineRule="auto"/>
              <w:jc w:val="center"/>
              <w:rPr>
                <w:rFonts w:ascii="宋体" w:hAnsi="宋体" w:eastAsia="宋体"/>
                <w:bCs/>
                <w:color w:val="auto"/>
                <w:sz w:val="24"/>
                <w:szCs w:val="18"/>
                <w:highlight w:val="none"/>
              </w:rPr>
            </w:pPr>
          </w:p>
        </w:tc>
      </w:tr>
      <w:tr w14:paraId="7DA9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22" w:type="pct"/>
            <w:vAlign w:val="center"/>
          </w:tcPr>
          <w:p w14:paraId="536FF31A">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3</w:t>
            </w:r>
          </w:p>
        </w:tc>
        <w:tc>
          <w:tcPr>
            <w:tcW w:w="655" w:type="pct"/>
            <w:vAlign w:val="center"/>
          </w:tcPr>
          <w:p w14:paraId="22E70940">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顶出风多联机室外机</w:t>
            </w:r>
          </w:p>
        </w:tc>
        <w:tc>
          <w:tcPr>
            <w:tcW w:w="1927" w:type="pct"/>
            <w:vAlign w:val="center"/>
          </w:tcPr>
          <w:p w14:paraId="3E88536D">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1.风量≥30000m3/h；</w:t>
            </w:r>
          </w:p>
          <w:p w14:paraId="5CF9E8D2">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w:t>
            </w:r>
            <w:r>
              <w:rPr>
                <w:rFonts w:hint="default" w:ascii="宋体" w:hAnsi="宋体" w:eastAsia="宋体"/>
                <w:bCs/>
                <w:color w:val="auto"/>
                <w:sz w:val="24"/>
                <w:szCs w:val="18"/>
                <w:highlight w:val="none"/>
                <w:lang w:val="en-US" w:eastAsia="zh-CN"/>
              </w:rPr>
              <w:t>制冷量</w:t>
            </w:r>
            <w:r>
              <w:rPr>
                <w:rFonts w:hint="eastAsia" w:ascii="宋体" w:hAnsi="宋体" w:eastAsia="宋体"/>
                <w:bCs/>
                <w:color w:val="auto"/>
                <w:sz w:val="24"/>
                <w:szCs w:val="18"/>
                <w:highlight w:val="none"/>
                <w:lang w:val="en-US" w:eastAsia="zh-CN"/>
              </w:rPr>
              <w:t>≥106.5kW（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0E267F93">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3.制冷功率</w:t>
            </w:r>
            <w:r>
              <w:rPr>
                <w:rFonts w:hint="eastAsia"/>
                <w:lang w:val="en-US" w:eastAsia="zh-CN"/>
              </w:rPr>
              <w:t>≤</w:t>
            </w:r>
            <w:r>
              <w:rPr>
                <w:rFonts w:hint="eastAsia" w:ascii="宋体" w:hAnsi="宋体" w:eastAsia="宋体"/>
                <w:bCs/>
                <w:color w:val="auto"/>
                <w:sz w:val="24"/>
                <w:szCs w:val="18"/>
                <w:highlight w:val="none"/>
                <w:lang w:val="en-US" w:eastAsia="zh-CN"/>
              </w:rPr>
              <w:t>29.60kW；</w:t>
            </w:r>
          </w:p>
          <w:p w14:paraId="679BF0F4">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4.★制热量≥120.0kW（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1832BDF1">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5.制热功率</w:t>
            </w:r>
            <w:r>
              <w:rPr>
                <w:rFonts w:hint="eastAsia"/>
                <w:lang w:val="en-US" w:eastAsia="zh-CN"/>
              </w:rPr>
              <w:t>≤</w:t>
            </w:r>
            <w:r>
              <w:rPr>
                <w:rFonts w:hint="eastAsia" w:ascii="宋体" w:hAnsi="宋体" w:eastAsia="宋体"/>
                <w:bCs/>
                <w:color w:val="auto"/>
                <w:sz w:val="24"/>
                <w:szCs w:val="18"/>
                <w:highlight w:val="none"/>
                <w:lang w:val="en-US" w:eastAsia="zh-CN"/>
              </w:rPr>
              <w:t>28.70kW；</w:t>
            </w:r>
          </w:p>
          <w:p w14:paraId="3AC7843F">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6.冷媒种类：R410A环保冷媒；</w:t>
            </w:r>
          </w:p>
          <w:p w14:paraId="6FE53331">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7.★APF值≥4.42（投标文件提供能效标识网备案截图佐证）；</w:t>
            </w:r>
          </w:p>
          <w:p w14:paraId="032B053A">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8.噪音（冷/暖）≤67/67dB(A)；</w:t>
            </w:r>
          </w:p>
          <w:p w14:paraId="693A876A">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9.具备全直流变频多联空调设备，单模块型式，压缩机需全部采用全直流变频喷气增焓压缩机（一台压缩机对应一台变频控制器），具备时间均衡运转功能，能顺序启动，并能自动轮换。冷凝风扇电机为高效率直流电机、采用直流变速控制；</w:t>
            </w:r>
          </w:p>
          <w:p w14:paraId="3A4887EF">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10.具备全直流变频喷气增焓压缩机。直流变频压缩机产品其压缩机驱动及室外机风扇电机驱动采用直流变频技术；</w:t>
            </w:r>
          </w:p>
          <w:p w14:paraId="0215ED63">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11.室外机运行温度宽广，高温制冷温度可达≥55°C，低温制热温度低至≤-30°C；</w:t>
            </w:r>
          </w:p>
          <w:p w14:paraId="05ED0115">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12.机组采用全密闭电控盒，防护等级≥IP55；</w:t>
            </w:r>
          </w:p>
          <w:p w14:paraId="6E97E7BC">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13.电控环境稳定，电控采用冷媒冷却散热；</w:t>
            </w:r>
          </w:p>
          <w:p w14:paraId="0E973862">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14.具备良好的散热效果；侧出风多联机静压值≥80Pa，顶出风多联机静压值≥120Pa；</w:t>
            </w:r>
          </w:p>
          <w:p w14:paraId="7C03DD11">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15.空调系统配管总长≥1000m，最远配管等效长度≥200m，室外机在室内机上方时最大允许落差≥110米，室内机之间最大允许落差≥40米；</w:t>
            </w:r>
          </w:p>
          <w:p w14:paraId="037BBD3B">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16.机组内、外机防腐蚀能力≥WF2级；</w:t>
            </w:r>
          </w:p>
          <w:p w14:paraId="795A3E53">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17.当系统冷负荷变化或室内机使用台数变化时，空调系统具备自动调节室外机的运行工况及启、停状态，实现多联机负荷自适应功能；</w:t>
            </w:r>
          </w:p>
          <w:p w14:paraId="43C422CF">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18.机组具备通讯线任意拓扑能力，通讯线抗干扰、断电条件下关阀能力，满足机组信号线之间任意连接，室内机掉电不影响整个系统的运行，满足机组的安装运行稳定性。</w:t>
            </w:r>
          </w:p>
        </w:tc>
        <w:tc>
          <w:tcPr>
            <w:tcW w:w="683" w:type="pct"/>
            <w:vAlign w:val="center"/>
          </w:tcPr>
          <w:p w14:paraId="7E82AD19">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台</w:t>
            </w:r>
          </w:p>
        </w:tc>
        <w:tc>
          <w:tcPr>
            <w:tcW w:w="266" w:type="pct"/>
            <w:vAlign w:val="center"/>
          </w:tcPr>
          <w:p w14:paraId="672D69C9">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工业</w:t>
            </w:r>
          </w:p>
        </w:tc>
        <w:tc>
          <w:tcPr>
            <w:tcW w:w="635" w:type="pct"/>
            <w:vAlign w:val="center"/>
          </w:tcPr>
          <w:p w14:paraId="3E0E5C5F">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否</w:t>
            </w:r>
          </w:p>
        </w:tc>
        <w:tc>
          <w:tcPr>
            <w:tcW w:w="408" w:type="pct"/>
            <w:vAlign w:val="center"/>
          </w:tcPr>
          <w:p w14:paraId="6E77DE25">
            <w:pPr>
              <w:spacing w:line="360" w:lineRule="auto"/>
              <w:jc w:val="center"/>
              <w:rPr>
                <w:rFonts w:ascii="宋体" w:hAnsi="宋体" w:eastAsia="宋体"/>
                <w:bCs/>
                <w:color w:val="auto"/>
                <w:sz w:val="24"/>
                <w:szCs w:val="18"/>
                <w:highlight w:val="none"/>
              </w:rPr>
            </w:pPr>
          </w:p>
        </w:tc>
      </w:tr>
      <w:tr w14:paraId="45F3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1F643FF0">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4</w:t>
            </w:r>
          </w:p>
        </w:tc>
        <w:tc>
          <w:tcPr>
            <w:tcW w:w="655" w:type="pct"/>
            <w:vAlign w:val="center"/>
          </w:tcPr>
          <w:p w14:paraId="462B5E2E">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顶出风多联机室外机</w:t>
            </w:r>
          </w:p>
        </w:tc>
        <w:tc>
          <w:tcPr>
            <w:tcW w:w="1927" w:type="pct"/>
            <w:vAlign w:val="center"/>
          </w:tcPr>
          <w:p w14:paraId="712EFB65">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1.风量≥33000m3/h；</w:t>
            </w:r>
          </w:p>
          <w:p w14:paraId="42A56864">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w:t>
            </w:r>
            <w:r>
              <w:rPr>
                <w:rFonts w:hint="default" w:ascii="宋体" w:hAnsi="宋体" w:eastAsia="宋体"/>
                <w:bCs/>
                <w:color w:val="auto"/>
                <w:sz w:val="24"/>
                <w:szCs w:val="18"/>
                <w:highlight w:val="none"/>
                <w:lang w:val="en-US" w:eastAsia="zh-CN"/>
              </w:rPr>
              <w:t>制冷量</w:t>
            </w:r>
            <w:r>
              <w:rPr>
                <w:rFonts w:hint="eastAsia" w:ascii="宋体" w:hAnsi="宋体" w:eastAsia="宋体"/>
                <w:bCs/>
                <w:color w:val="auto"/>
                <w:sz w:val="24"/>
                <w:szCs w:val="18"/>
                <w:highlight w:val="none"/>
                <w:lang w:val="en-US" w:eastAsia="zh-CN"/>
              </w:rPr>
              <w:t>≥129.5kW（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40233C69">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3.制冷功率</w:t>
            </w:r>
            <w:r>
              <w:rPr>
                <w:rFonts w:hint="eastAsia"/>
                <w:lang w:val="en-US" w:eastAsia="zh-CN"/>
              </w:rPr>
              <w:t>≤</w:t>
            </w:r>
            <w:r>
              <w:rPr>
                <w:rFonts w:hint="eastAsia" w:ascii="宋体" w:hAnsi="宋体" w:eastAsia="宋体"/>
                <w:bCs/>
                <w:color w:val="auto"/>
                <w:sz w:val="24"/>
                <w:szCs w:val="18"/>
                <w:highlight w:val="none"/>
                <w:lang w:val="en-US" w:eastAsia="zh-CN"/>
              </w:rPr>
              <w:t>36.50kW；</w:t>
            </w:r>
          </w:p>
          <w:p w14:paraId="6E821A70">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4.★制热量≥144kW（</w:t>
            </w:r>
            <w:r>
              <w:rPr>
                <w:rFonts w:hint="eastAsia" w:ascii="宋体" w:hAnsi="宋体" w:eastAsia="宋体" w:cs="宋体"/>
                <w:kern w:val="0"/>
                <w:sz w:val="24"/>
                <w:szCs w:val="24"/>
                <w:highlight w:val="none"/>
                <w:lang w:val="en-US" w:eastAsia="zh-CN"/>
              </w:rPr>
              <w:t>投标文件中提供带有CMA或CNAS标识的检测报告扫描件</w:t>
            </w:r>
            <w:r>
              <w:rPr>
                <w:rFonts w:hint="eastAsia" w:ascii="宋体" w:hAnsi="宋体" w:eastAsia="宋体"/>
                <w:bCs/>
                <w:color w:val="auto"/>
                <w:sz w:val="24"/>
                <w:szCs w:val="18"/>
                <w:highlight w:val="none"/>
                <w:lang w:val="en-US" w:eastAsia="zh-CN"/>
              </w:rPr>
              <w:t>）；</w:t>
            </w:r>
          </w:p>
          <w:p w14:paraId="2EC85E16">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5.制热功率</w:t>
            </w:r>
            <w:r>
              <w:rPr>
                <w:rFonts w:hint="eastAsia"/>
                <w:lang w:val="en-US" w:eastAsia="zh-CN"/>
              </w:rPr>
              <w:t>≤</w:t>
            </w:r>
            <w:r>
              <w:rPr>
                <w:rFonts w:hint="eastAsia" w:ascii="宋体" w:hAnsi="宋体" w:eastAsia="宋体"/>
                <w:bCs/>
                <w:color w:val="auto"/>
                <w:sz w:val="24"/>
                <w:szCs w:val="18"/>
                <w:highlight w:val="none"/>
                <w:lang w:val="en-US" w:eastAsia="zh-CN"/>
              </w:rPr>
              <w:t>20.10kW；</w:t>
            </w:r>
          </w:p>
          <w:p w14:paraId="0FF54B22">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6.冷媒种类：R410A环保冷媒；</w:t>
            </w:r>
          </w:p>
          <w:p w14:paraId="5C7F4D92">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7.★APF值≥4.30（投标文件提供能效标识网备案截图佐证）；</w:t>
            </w:r>
          </w:p>
          <w:p w14:paraId="57C7785E">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8.噪音（冷/暖）≤69/69dB(A)；</w:t>
            </w:r>
          </w:p>
          <w:p w14:paraId="30185443">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9.具备全直流变频多联空调设备，单模块型式，压缩机需全部采用全直流变频喷气增焓压缩机（一台压缩机对应一台变频控制器），具备时间均衡运转功能，能顺序启动，并能自动轮换。冷凝风扇电机为高效率直流电机、采用直流变速控制；</w:t>
            </w:r>
          </w:p>
          <w:p w14:paraId="77CC2776">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10.具备全直流变频喷气增焓压缩机。直流变频压缩机产品其压缩机驱动及室外机风扇电机驱动采用直流变频技术；</w:t>
            </w:r>
          </w:p>
          <w:p w14:paraId="03AB8453">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11.室外机运行温度宽广，高温制冷温度可达≥55°C，低温制热温度低至≤-30°C；</w:t>
            </w:r>
          </w:p>
          <w:p w14:paraId="53438E99">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12.机组采用全密闭电控盒，防护等级≥IP55；</w:t>
            </w:r>
          </w:p>
          <w:p w14:paraId="570AF1E2">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13.电控环境稳定，电控采用冷媒冷却散热；</w:t>
            </w:r>
          </w:p>
          <w:p w14:paraId="42BBD293">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14.具备良好的散热效果；侧出风多联机静压值≥80Pa，顶出风多联机静压值≥120Pa；</w:t>
            </w:r>
          </w:p>
          <w:p w14:paraId="50709BC0">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15.空调系统配管总长≥1000m，最远配管等效长度≥200m，室外机在室内机上方时最大允许落差≥110米，室内机之间最大允许落差≥40米；</w:t>
            </w:r>
          </w:p>
          <w:p w14:paraId="6AC21CA2">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16.机组内、外机防腐蚀能力≥WF2级；</w:t>
            </w:r>
          </w:p>
          <w:p w14:paraId="2327DA67">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17.当系统冷负荷变化或室内机使用台数变化时，空调系统具备自动调节室外机的运行工况及启、停状态，实现多联机负荷自适应功能；</w:t>
            </w:r>
          </w:p>
          <w:p w14:paraId="5B56B12F">
            <w:pPr>
              <w:spacing w:line="360" w:lineRule="auto"/>
              <w:jc w:val="both"/>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18.机组具备通讯线任意拓扑能力，通讯线抗干扰、断电条件下关阀能力，满足机组信号线之间任意连接，室内机掉电不影响整个系统的运行，满足机组的安装运行稳定性。</w:t>
            </w:r>
          </w:p>
        </w:tc>
        <w:tc>
          <w:tcPr>
            <w:tcW w:w="683" w:type="pct"/>
            <w:vAlign w:val="center"/>
          </w:tcPr>
          <w:p w14:paraId="4342140D">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w:t>
            </w:r>
            <w:r>
              <w:rPr>
                <w:rFonts w:hint="eastAsia" w:ascii="宋体" w:hAnsi="宋体" w:eastAsia="宋体"/>
                <w:bCs/>
                <w:color w:val="auto"/>
                <w:sz w:val="24"/>
                <w:szCs w:val="18"/>
                <w:highlight w:val="none"/>
              </w:rPr>
              <w:t>台</w:t>
            </w:r>
          </w:p>
        </w:tc>
        <w:tc>
          <w:tcPr>
            <w:tcW w:w="266" w:type="pct"/>
            <w:vAlign w:val="center"/>
          </w:tcPr>
          <w:p w14:paraId="4194D8D1">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工业</w:t>
            </w:r>
          </w:p>
        </w:tc>
        <w:tc>
          <w:tcPr>
            <w:tcW w:w="635" w:type="pct"/>
            <w:vAlign w:val="center"/>
          </w:tcPr>
          <w:p w14:paraId="0EA7747A">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否</w:t>
            </w:r>
          </w:p>
        </w:tc>
        <w:tc>
          <w:tcPr>
            <w:tcW w:w="408" w:type="pct"/>
            <w:vAlign w:val="center"/>
          </w:tcPr>
          <w:p w14:paraId="44C1ACE4">
            <w:pPr>
              <w:spacing w:line="360" w:lineRule="auto"/>
              <w:jc w:val="center"/>
              <w:rPr>
                <w:rFonts w:ascii="宋体" w:hAnsi="宋体" w:eastAsia="宋体"/>
                <w:bCs/>
                <w:color w:val="auto"/>
                <w:sz w:val="24"/>
                <w:szCs w:val="18"/>
                <w:highlight w:val="none"/>
              </w:rPr>
            </w:pPr>
          </w:p>
        </w:tc>
      </w:tr>
      <w:tr w14:paraId="3CE5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0F95D036">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5</w:t>
            </w:r>
          </w:p>
        </w:tc>
        <w:tc>
          <w:tcPr>
            <w:tcW w:w="655" w:type="pct"/>
            <w:vAlign w:val="center"/>
          </w:tcPr>
          <w:p w14:paraId="4F214940">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环形出风嵌入式室内机</w:t>
            </w:r>
          </w:p>
        </w:tc>
        <w:tc>
          <w:tcPr>
            <w:tcW w:w="1927" w:type="pct"/>
            <w:vAlign w:val="center"/>
          </w:tcPr>
          <w:p w14:paraId="0A130FB0">
            <w:pPr>
              <w:numPr>
                <w:ilvl w:val="0"/>
                <w:numId w:val="2"/>
              </w:numPr>
              <w:spacing w:line="360" w:lineRule="auto"/>
              <w:jc w:val="both"/>
              <w:rPr>
                <w:rFonts w:hint="eastAsia"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制冷量</w:t>
            </w:r>
            <w:r>
              <w:rPr>
                <w:rFonts w:hint="eastAsia" w:ascii="宋体" w:hAnsi="宋体" w:eastAsia="宋体"/>
                <w:bCs/>
                <w:color w:val="auto"/>
                <w:sz w:val="24"/>
                <w:szCs w:val="18"/>
                <w:highlight w:val="none"/>
                <w:lang w:val="en-US" w:eastAsia="zh-CN"/>
              </w:rPr>
              <w:t>≥9.0kW</w:t>
            </w:r>
          </w:p>
          <w:p w14:paraId="1554AF76">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2.制热量≥10.0kW</w:t>
            </w:r>
          </w:p>
          <w:p w14:paraId="192C9377">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3.风量≥1330m3/h；</w:t>
            </w:r>
          </w:p>
          <w:p w14:paraId="6711315A">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4.冷媒种类：R410A环保冷媒；</w:t>
            </w:r>
          </w:p>
          <w:p w14:paraId="2103F4EC">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5.冷凝水排水泵：直流电机，最大扬程≥1200mm</w:t>
            </w:r>
          </w:p>
          <w:p w14:paraId="747C05B9">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6.直流无刷电机无级调速，具备≥7档送风模式；</w:t>
            </w:r>
          </w:p>
          <w:p w14:paraId="0D412D38">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7.</w:t>
            </w:r>
            <w:r>
              <w:rPr>
                <w:rFonts w:hint="eastAsia" w:ascii="宋体" w:hAnsi="宋体" w:eastAsia="宋体" w:cs="宋体"/>
                <w:sz w:val="24"/>
                <w:szCs w:val="22"/>
                <w:highlight w:val="none"/>
              </w:rPr>
              <w:t>每台室内机须配置一个有线控制器</w:t>
            </w:r>
            <w:r>
              <w:rPr>
                <w:rFonts w:hint="eastAsia" w:ascii="宋体" w:hAnsi="宋体" w:eastAsia="宋体" w:cs="宋体"/>
                <w:sz w:val="24"/>
                <w:szCs w:val="22"/>
                <w:highlight w:val="none"/>
                <w:lang w:val="en-US" w:eastAsia="zh-CN"/>
              </w:rPr>
              <w:t>及红外控制器，</w:t>
            </w:r>
            <w:r>
              <w:rPr>
                <w:rFonts w:hint="eastAsia" w:ascii="宋体" w:hAnsi="宋体" w:eastAsia="宋体" w:cs="宋体"/>
                <w:sz w:val="24"/>
                <w:szCs w:val="22"/>
                <w:highlight w:val="none"/>
              </w:rPr>
              <w:t>其应具备但不限于以下功能：开关控制、风量调节、风向摆动选择、运行模式选择（自动、制冷、除湿、送风、制热等）、温度设定、定时开关。室内机制冷状态能锁定在26℃、制热状态锁定20℃。控制面板应能显示故障代码功能</w:t>
            </w:r>
            <w:r>
              <w:rPr>
                <w:rFonts w:hint="eastAsia" w:ascii="宋体" w:hAnsi="宋体" w:eastAsia="宋体" w:cs="宋体"/>
                <w:sz w:val="24"/>
                <w:szCs w:val="22"/>
                <w:highlight w:val="none"/>
                <w:lang w:eastAsia="zh-CN"/>
              </w:rPr>
              <w:t>。</w:t>
            </w:r>
          </w:p>
        </w:tc>
        <w:tc>
          <w:tcPr>
            <w:tcW w:w="683" w:type="pct"/>
            <w:vAlign w:val="center"/>
          </w:tcPr>
          <w:p w14:paraId="15C55F2F">
            <w:pPr>
              <w:spacing w:line="360" w:lineRule="auto"/>
              <w:jc w:val="center"/>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244</w:t>
            </w:r>
            <w:r>
              <w:rPr>
                <w:rFonts w:hint="eastAsia" w:ascii="宋体" w:hAnsi="宋体" w:eastAsia="宋体"/>
                <w:bCs/>
                <w:color w:val="auto"/>
                <w:sz w:val="24"/>
                <w:szCs w:val="18"/>
                <w:highlight w:val="none"/>
              </w:rPr>
              <w:t>台</w:t>
            </w:r>
          </w:p>
        </w:tc>
        <w:tc>
          <w:tcPr>
            <w:tcW w:w="266" w:type="pct"/>
            <w:vAlign w:val="center"/>
          </w:tcPr>
          <w:p w14:paraId="49A64F70">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工业</w:t>
            </w:r>
          </w:p>
        </w:tc>
        <w:tc>
          <w:tcPr>
            <w:tcW w:w="635" w:type="pct"/>
            <w:vAlign w:val="center"/>
          </w:tcPr>
          <w:p w14:paraId="79D176AA">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是</w:t>
            </w:r>
          </w:p>
        </w:tc>
        <w:tc>
          <w:tcPr>
            <w:tcW w:w="408" w:type="pct"/>
            <w:vAlign w:val="center"/>
          </w:tcPr>
          <w:p w14:paraId="7E9FE1DE">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标配冷凝水提升泵</w:t>
            </w:r>
          </w:p>
        </w:tc>
      </w:tr>
      <w:tr w14:paraId="37F2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422" w:type="pct"/>
            <w:vAlign w:val="center"/>
          </w:tcPr>
          <w:p w14:paraId="6F0A44C0">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6</w:t>
            </w:r>
          </w:p>
        </w:tc>
        <w:tc>
          <w:tcPr>
            <w:tcW w:w="655" w:type="pct"/>
            <w:vAlign w:val="center"/>
          </w:tcPr>
          <w:p w14:paraId="6E20B0AD">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智慧空开配电系统</w:t>
            </w:r>
          </w:p>
        </w:tc>
        <w:tc>
          <w:tcPr>
            <w:tcW w:w="1927" w:type="pct"/>
            <w:vAlign w:val="center"/>
          </w:tcPr>
          <w:p w14:paraId="2C51EF9B">
            <w:pPr>
              <w:numPr>
                <w:numId w:val="0"/>
              </w:numPr>
              <w:spacing w:line="360" w:lineRule="auto"/>
              <w:jc w:val="both"/>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一、通信模组</w:t>
            </w:r>
          </w:p>
          <w:p w14:paraId="3B7984C2">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 xml:space="preserve">1、Zigbee通信协议； </w:t>
            </w:r>
          </w:p>
          <w:p w14:paraId="3381C76D">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2、可选支持智能空开控制模组，实现基于电磁线圈吸合原理的电路通断开关，解决空开频繁通断电操作对空开寿命的影响，解决空开通断电瞬时电流冲击对空开寿命的影响；</w:t>
            </w:r>
          </w:p>
          <w:p w14:paraId="4364710A">
            <w:pPr>
              <w:numPr>
                <w:ilvl w:val="0"/>
                <w:numId w:val="0"/>
              </w:numPr>
              <w:spacing w:line="360" w:lineRule="auto"/>
              <w:ind w:right="57" w:rightChars="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3、可选支持智能空开，实现智能空开用电数据采集，实现智能空开本地上电操作禁用等功能；</w:t>
            </w:r>
          </w:p>
          <w:p w14:paraId="77A8521E">
            <w:pPr>
              <w:spacing w:line="360" w:lineRule="auto"/>
              <w:ind w:firstLine="0"/>
              <w:jc w:val="left"/>
              <w:rPr>
                <w:rFonts w:hint="eastAsia" w:ascii="宋体" w:hAnsi="宋体" w:eastAsia="宋体" w:cs="宋体"/>
                <w:kern w:val="0"/>
                <w:sz w:val="24"/>
                <w:szCs w:val="24"/>
                <w:highlight w:val="yellow"/>
                <w:lang w:val="en-US" w:eastAsia="zh-CN"/>
              </w:rPr>
            </w:pPr>
            <w:r>
              <w:rPr>
                <w:rFonts w:hint="eastAsia" w:ascii="宋体" w:hAnsi="宋体" w:eastAsia="宋体" w:cs="宋体"/>
                <w:kern w:val="0"/>
                <w:sz w:val="24"/>
                <w:szCs w:val="24"/>
                <w:highlight w:val="none"/>
                <w:lang w:val="en-US" w:eastAsia="zh-CN"/>
              </w:rPr>
              <w:t>4、具备短路保护、漏电保护、过载过流保护、过压保护、打火断电保护、开关过温保护、欠压报警等功能；</w:t>
            </w:r>
          </w:p>
          <w:p w14:paraId="0A84D9B6">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5、支持远程控制、手机移动端统一管理；</w:t>
            </w:r>
          </w:p>
          <w:p w14:paraId="47045844">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6、手机移动端实现远程监测空开状态，手机移动端支持监测用电相关数值，投标文件中提供软件功能截图证明；</w:t>
            </w:r>
          </w:p>
          <w:p w14:paraId="585414D8">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7、支持电量统计功能，支持物联数据统计分析，如自定义时段的用电数据以及设备能耗趋势分析等；</w:t>
            </w:r>
          </w:p>
          <w:p w14:paraId="5CB66F1E">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8、所投产品具有自主知识产权，投标文件提供物联网智慧空开通信系统软件著作权证书复印件；</w:t>
            </w:r>
          </w:p>
          <w:p w14:paraId="25762903">
            <w:pPr>
              <w:numPr>
                <w:ilvl w:val="0"/>
                <w:numId w:val="0"/>
              </w:numPr>
              <w:spacing w:line="360" w:lineRule="auto"/>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9、要求本次智能空开系统能接入学校现有智慧物联控制平台。</w:t>
            </w:r>
          </w:p>
          <w:p w14:paraId="4503648C">
            <w:pPr>
              <w:numPr>
                <w:numId w:val="0"/>
              </w:numPr>
              <w:spacing w:line="360" w:lineRule="auto"/>
              <w:ind w:leftChars="0"/>
              <w:jc w:val="both"/>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二、智能空开1P32A</w:t>
            </w:r>
          </w:p>
          <w:p w14:paraId="3B4A1166">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1、与智能空开通讯模组配合使用，实现与物联网网关、物联网控制平台联动；</w:t>
            </w:r>
          </w:p>
          <w:p w14:paraId="4729F2BB">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2、智慧微断220V 32A；</w:t>
            </w:r>
          </w:p>
          <w:p w14:paraId="17E9E9AF">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3、1P额定32A；</w:t>
            </w:r>
          </w:p>
          <w:p w14:paraId="5A12B978">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4、支持本地电动控制、本地手动推杆控制；</w:t>
            </w:r>
          </w:p>
          <w:p w14:paraId="3C17B3BA">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5、支持禁用空开本地上电操作，投标文件中提供软件功能截图证明；</w:t>
            </w:r>
          </w:p>
          <w:p w14:paraId="736A17F1">
            <w:pPr>
              <w:numPr>
                <w:ilvl w:val="0"/>
                <w:numId w:val="0"/>
              </w:numPr>
              <w:spacing w:line="360" w:lineRule="auto"/>
              <w:ind w:leftChars="0"/>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6、支持用电数据采集，包括电流、电压、有功功率、累计用电量数据。</w:t>
            </w:r>
          </w:p>
          <w:p w14:paraId="19855BBF">
            <w:pPr>
              <w:numPr>
                <w:numId w:val="0"/>
              </w:numPr>
              <w:spacing w:line="360" w:lineRule="auto"/>
              <w:ind w:leftChars="0"/>
              <w:jc w:val="both"/>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三、智能空开2P63A</w:t>
            </w:r>
          </w:p>
          <w:p w14:paraId="4FB0BD2E">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1、与智能空开通讯模组配合使用，实现与物联网网关、物联网控制平台联动；</w:t>
            </w:r>
          </w:p>
          <w:p w14:paraId="427FCD91">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2、智慧微断220V 63A；</w:t>
            </w:r>
          </w:p>
          <w:p w14:paraId="5CB4263B">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3、2P额定63A；</w:t>
            </w:r>
          </w:p>
          <w:p w14:paraId="364ADB75">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4、支持本地电动控制、本地手动推杆控制；</w:t>
            </w:r>
          </w:p>
          <w:p w14:paraId="5684D84A">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5、支持禁用空开本地上电操作；</w:t>
            </w:r>
          </w:p>
          <w:p w14:paraId="42956AF9">
            <w:pPr>
              <w:numPr>
                <w:ilvl w:val="0"/>
                <w:numId w:val="0"/>
              </w:numPr>
              <w:spacing w:line="360" w:lineRule="auto"/>
              <w:ind w:leftChars="0"/>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6、支持空开用电数据采集。</w:t>
            </w:r>
          </w:p>
          <w:p w14:paraId="6103A5B4">
            <w:pPr>
              <w:numPr>
                <w:ilvl w:val="0"/>
                <w:numId w:val="0"/>
              </w:numPr>
              <w:spacing w:line="360" w:lineRule="auto"/>
              <w:ind w:leftChars="0"/>
              <w:jc w:val="both"/>
              <w:rPr>
                <w:rFonts w:hint="eastAsia" w:ascii="宋体" w:hAnsi="宋体" w:eastAsia="宋体" w:cs="宋体"/>
                <w:b w:val="0"/>
                <w:bCs w:val="0"/>
                <w:kern w:val="0"/>
                <w:sz w:val="24"/>
                <w:szCs w:val="24"/>
                <w:highlight w:val="none"/>
                <w:lang w:val="en-US" w:eastAsia="zh-CN"/>
              </w:rPr>
            </w:pPr>
            <w:r>
              <w:rPr>
                <w:rFonts w:hint="eastAsia" w:ascii="宋体" w:hAnsi="宋体" w:eastAsia="宋体" w:cs="宋体"/>
                <w:kern w:val="0"/>
                <w:sz w:val="24"/>
                <w:szCs w:val="24"/>
                <w:highlight w:val="none"/>
                <w:lang w:val="en-US" w:eastAsia="zh-CN"/>
              </w:rPr>
              <w:t>四、</w:t>
            </w:r>
            <w:r>
              <w:rPr>
                <w:rFonts w:hint="eastAsia" w:ascii="宋体" w:hAnsi="宋体" w:eastAsia="宋体" w:cs="宋体"/>
                <w:b w:val="0"/>
                <w:bCs w:val="0"/>
                <w:kern w:val="0"/>
                <w:sz w:val="24"/>
                <w:szCs w:val="24"/>
                <w:highlight w:val="none"/>
                <w:lang w:val="en-US" w:eastAsia="zh-CN"/>
              </w:rPr>
              <w:t>智能空开3P63A</w:t>
            </w:r>
          </w:p>
          <w:p w14:paraId="5E9B8C85">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1、与智能空开通讯模组配合使用，实现与物联网网关、物联网控制平台联动；</w:t>
            </w:r>
          </w:p>
          <w:p w14:paraId="3C439F1B">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2、智慧微断380V 63A；</w:t>
            </w:r>
          </w:p>
          <w:p w14:paraId="58F16205">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3、3P，单相额定63A；</w:t>
            </w:r>
          </w:p>
          <w:p w14:paraId="3001F6F2">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4、支持本地电动控制、本地手动推杆控制；</w:t>
            </w:r>
          </w:p>
          <w:p w14:paraId="662D4C18">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5、支持禁用空开本地上电操作；</w:t>
            </w:r>
          </w:p>
          <w:p w14:paraId="282DA325">
            <w:pPr>
              <w:numPr>
                <w:ilvl w:val="0"/>
                <w:numId w:val="0"/>
              </w:numPr>
              <w:spacing w:line="360" w:lineRule="auto"/>
              <w:ind w:leftChars="0"/>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6、支持空开用电数据采集。</w:t>
            </w:r>
          </w:p>
          <w:p w14:paraId="401C0E15">
            <w:pPr>
              <w:numPr>
                <w:ilvl w:val="0"/>
                <w:numId w:val="0"/>
              </w:numPr>
              <w:spacing w:line="360" w:lineRule="auto"/>
              <w:ind w:leftChars="0"/>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五、智能风扇调速开关</w:t>
            </w:r>
          </w:p>
          <w:p w14:paraId="7FC0B293">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1、通信方式：Zigbee协议；</w:t>
            </w:r>
          </w:p>
          <w:p w14:paraId="19FF57F4">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2、工作电压：220V；</w:t>
            </w:r>
          </w:p>
          <w:p w14:paraId="663C943C">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3、负载功率：300W；</w:t>
            </w:r>
          </w:p>
          <w:p w14:paraId="12B9D3E3">
            <w:pPr>
              <w:spacing w:line="360" w:lineRule="auto"/>
              <w:ind w:firstLine="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4、智能策略控制，含情景策略控制，定时策略控制，联动策略控制、巡检策略控制、告警策略控制等；</w:t>
            </w:r>
          </w:p>
          <w:p w14:paraId="3812F8CF">
            <w:pPr>
              <w:spacing w:line="360" w:lineRule="auto"/>
              <w:ind w:firstLine="0"/>
              <w:jc w:val="left"/>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5、本地按键控制，Web端及移动端控制；</w:t>
            </w:r>
            <w:bookmarkStart w:id="2" w:name="_GoBack"/>
            <w:bookmarkEnd w:id="2"/>
          </w:p>
        </w:tc>
        <w:tc>
          <w:tcPr>
            <w:tcW w:w="683" w:type="pct"/>
            <w:vAlign w:val="center"/>
          </w:tcPr>
          <w:p w14:paraId="751C56B3">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具体数量详见表6.1</w:t>
            </w:r>
          </w:p>
        </w:tc>
        <w:tc>
          <w:tcPr>
            <w:tcW w:w="266" w:type="pct"/>
            <w:vAlign w:val="center"/>
          </w:tcPr>
          <w:p w14:paraId="7632ADD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bCs/>
                <w:color w:val="auto"/>
                <w:sz w:val="24"/>
                <w:szCs w:val="18"/>
                <w:highlight w:val="none"/>
                <w:lang w:eastAsia="zh-CN"/>
              </w:rPr>
              <w:t>工业</w:t>
            </w:r>
          </w:p>
        </w:tc>
        <w:tc>
          <w:tcPr>
            <w:tcW w:w="635" w:type="pct"/>
            <w:vAlign w:val="center"/>
          </w:tcPr>
          <w:p w14:paraId="0645F8F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eastAsia="zh-CN"/>
              </w:rPr>
              <w:t>否</w:t>
            </w:r>
          </w:p>
        </w:tc>
        <w:tc>
          <w:tcPr>
            <w:tcW w:w="408" w:type="pct"/>
            <w:vAlign w:val="center"/>
          </w:tcPr>
          <w:p w14:paraId="1B98840C">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满足现有空调及本次新增空调全套覆盖配备</w:t>
            </w:r>
          </w:p>
        </w:tc>
      </w:tr>
    </w:tbl>
    <w:p w14:paraId="69C6535B">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注：1.货物指标要求清单中如某项标识中包含多条技术参数或要求，则该项标识所含内容均需满足或优于招标文件要求，否则不予认可。</w:t>
      </w:r>
    </w:p>
    <w:p w14:paraId="2DE74186">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2.所有产品的技术参数及要求，采购人验收时将逐条核对，如发现与实际情况不符、虚假响应等，采购人有权报监管部门按规定处理，由此产生的责任与后果均由中标人自行承担。</w:t>
      </w:r>
    </w:p>
    <w:p w14:paraId="6D1BCAA0">
      <w:pPr>
        <w:spacing w:line="360" w:lineRule="auto"/>
        <w:ind w:firstLine="480" w:firstLineChars="200"/>
        <w:rPr>
          <w:rFonts w:hint="eastAsia" w:ascii="宋体" w:hAnsi="宋体" w:eastAsia="宋体" w:cs="宋体"/>
          <w:bCs/>
          <w:sz w:val="24"/>
          <w:szCs w:val="24"/>
          <w:highlight w:val="none"/>
          <w:shd w:val="clear" w:color="auto" w:fill="FFFFFF" w:themeFill="background1"/>
          <w:lang w:val="en-US" w:eastAsia="zh-CN"/>
        </w:rPr>
      </w:pPr>
      <w:r>
        <w:rPr>
          <w:rFonts w:hint="eastAsia" w:ascii="宋体" w:hAnsi="宋体" w:eastAsia="宋体" w:cs="宋体"/>
          <w:bCs/>
          <w:color w:val="auto"/>
          <w:sz w:val="24"/>
          <w:szCs w:val="24"/>
          <w:highlight w:val="none"/>
          <w:lang w:val="en-US" w:eastAsia="zh-CN"/>
        </w:rPr>
        <w:t>3.清单与图纸不一致时，以图纸为准</w:t>
      </w:r>
    </w:p>
    <w:p w14:paraId="3D28D54E">
      <w:pPr>
        <w:pStyle w:val="7"/>
        <w:spacing w:line="360" w:lineRule="auto"/>
        <w:ind w:left="0" w:leftChars="0" w:firstLine="0" w:firstLineChars="0"/>
        <w:rPr>
          <w:rFonts w:hint="eastAsia" w:ascii="宋体" w:hAnsi="宋体" w:eastAsia="宋体" w:cs="宋体"/>
          <w:bCs/>
          <w:sz w:val="24"/>
          <w:szCs w:val="24"/>
          <w:highlight w:val="none"/>
          <w:shd w:val="clear" w:color="auto" w:fill="FFFFFF" w:themeFill="background1"/>
          <w:lang w:val="en-US" w:eastAsia="zh-CN"/>
        </w:rPr>
      </w:pPr>
      <w:r>
        <w:rPr>
          <w:rFonts w:hint="eastAsia" w:ascii="宋体" w:hAnsi="宋体" w:eastAsia="宋体" w:cs="宋体"/>
          <w:b/>
          <w:bCs w:val="0"/>
          <w:sz w:val="24"/>
          <w:szCs w:val="24"/>
          <w:highlight w:val="none"/>
          <w:shd w:val="clear" w:color="auto" w:fill="FFFFFF" w:themeFill="background1"/>
          <w:lang w:val="en-US" w:eastAsia="zh-CN"/>
        </w:rPr>
        <w:t>附：表6.1</w:t>
      </w:r>
    </w:p>
    <w:p w14:paraId="56463A46">
      <w:pPr>
        <w:pStyle w:val="7"/>
        <w:spacing w:line="360" w:lineRule="auto"/>
        <w:ind w:left="0" w:leftChars="0" w:firstLine="0" w:firstLineChars="0"/>
        <w:rPr>
          <w:rFonts w:hint="eastAsia" w:ascii="宋体" w:hAnsi="宋体" w:eastAsia="宋体" w:cs="宋体"/>
          <w:b/>
          <w:bCs w:val="0"/>
          <w:kern w:val="2"/>
          <w:sz w:val="24"/>
          <w:szCs w:val="24"/>
          <w:highlight w:val="none"/>
          <w:shd w:val="clear" w:color="auto" w:fill="FFFFFF" w:themeFill="background1"/>
          <w:lang w:val="en-US" w:eastAsia="zh-CN" w:bidi="ar-SA"/>
        </w:rPr>
      </w:pPr>
      <w:r>
        <w:rPr>
          <w:rFonts w:hint="eastAsia" w:ascii="宋体" w:hAnsi="宋体" w:eastAsia="宋体" w:cs="宋体"/>
          <w:b/>
          <w:bCs w:val="0"/>
          <w:kern w:val="2"/>
          <w:sz w:val="24"/>
          <w:szCs w:val="24"/>
          <w:highlight w:val="none"/>
          <w:shd w:val="clear" w:color="auto" w:fill="FFFFFF" w:themeFill="background1"/>
          <w:lang w:val="en-US" w:eastAsia="zh-CN" w:bidi="ar-SA"/>
        </w:rPr>
        <w:t>少荃湖校区</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2915"/>
        <w:gridCol w:w="1198"/>
        <w:gridCol w:w="3510"/>
      </w:tblGrid>
      <w:tr w14:paraId="45A0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000" w:type="pct"/>
            <w:gridSpan w:val="4"/>
            <w:vAlign w:val="center"/>
          </w:tcPr>
          <w:p w14:paraId="7776BCAD">
            <w:pPr>
              <w:spacing w:line="240" w:lineRule="auto"/>
              <w:ind w:firstLine="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大教室智能风扇系统</w:t>
            </w:r>
          </w:p>
        </w:tc>
      </w:tr>
      <w:tr w14:paraId="0B00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6" w:type="pct"/>
            <w:vAlign w:val="center"/>
          </w:tcPr>
          <w:p w14:paraId="07EFC6DB">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序号</w:t>
            </w:r>
          </w:p>
        </w:tc>
        <w:tc>
          <w:tcPr>
            <w:tcW w:w="1711" w:type="pct"/>
            <w:vAlign w:val="center"/>
          </w:tcPr>
          <w:p w14:paraId="2672F209">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产品名称</w:t>
            </w:r>
          </w:p>
        </w:tc>
        <w:tc>
          <w:tcPr>
            <w:tcW w:w="703" w:type="pct"/>
            <w:vAlign w:val="center"/>
          </w:tcPr>
          <w:p w14:paraId="46F31B7B">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数量</w:t>
            </w:r>
          </w:p>
        </w:tc>
        <w:tc>
          <w:tcPr>
            <w:tcW w:w="2059" w:type="pct"/>
            <w:vAlign w:val="center"/>
          </w:tcPr>
          <w:p w14:paraId="44E05FC2">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备注</w:t>
            </w:r>
          </w:p>
        </w:tc>
      </w:tr>
      <w:tr w14:paraId="3F85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526" w:type="pct"/>
            <w:vAlign w:val="center"/>
          </w:tcPr>
          <w:p w14:paraId="08331EF7">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1</w:t>
            </w:r>
          </w:p>
        </w:tc>
        <w:tc>
          <w:tcPr>
            <w:tcW w:w="1711" w:type="pct"/>
            <w:shd w:val="clear" w:color="auto" w:fill="auto"/>
            <w:vAlign w:val="center"/>
          </w:tcPr>
          <w:p w14:paraId="260249B1">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智能风扇调速开关</w:t>
            </w:r>
          </w:p>
        </w:tc>
        <w:tc>
          <w:tcPr>
            <w:tcW w:w="703" w:type="pct"/>
            <w:vAlign w:val="center"/>
          </w:tcPr>
          <w:p w14:paraId="29B15AA7">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531</w:t>
            </w:r>
          </w:p>
        </w:tc>
        <w:tc>
          <w:tcPr>
            <w:tcW w:w="2059" w:type="pct"/>
            <w:vAlign w:val="center"/>
          </w:tcPr>
          <w:p w14:paraId="5A92DB15">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每间教室9个风扇开关</w:t>
            </w:r>
          </w:p>
        </w:tc>
      </w:tr>
      <w:tr w14:paraId="21DC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6" w:type="pct"/>
            <w:vAlign w:val="center"/>
          </w:tcPr>
          <w:p w14:paraId="763E3596">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p>
        </w:tc>
        <w:tc>
          <w:tcPr>
            <w:tcW w:w="1711" w:type="pct"/>
            <w:shd w:val="clear" w:color="auto" w:fill="auto"/>
            <w:vAlign w:val="center"/>
          </w:tcPr>
          <w:p w14:paraId="33D29DA0">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合计</w:t>
            </w:r>
          </w:p>
        </w:tc>
        <w:tc>
          <w:tcPr>
            <w:tcW w:w="703" w:type="pct"/>
            <w:vAlign w:val="center"/>
          </w:tcPr>
          <w:p w14:paraId="13EB4129">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p>
        </w:tc>
        <w:tc>
          <w:tcPr>
            <w:tcW w:w="2059" w:type="pct"/>
            <w:vAlign w:val="center"/>
          </w:tcPr>
          <w:p w14:paraId="7E8CD7B6">
            <w:pPr>
              <w:spacing w:line="240" w:lineRule="auto"/>
              <w:ind w:firstLine="0"/>
              <w:jc w:val="left"/>
              <w:rPr>
                <w:rFonts w:hint="eastAsia" w:ascii="宋体" w:hAnsi="宋体" w:eastAsia="宋体" w:cs="宋体"/>
                <w:bCs/>
                <w:kern w:val="2"/>
                <w:sz w:val="24"/>
                <w:szCs w:val="24"/>
                <w:highlight w:val="none"/>
                <w:shd w:val="clear" w:color="auto" w:fill="FFFFFF" w:themeFill="background1"/>
                <w:lang w:val="en-US" w:eastAsia="zh-CN" w:bidi="ar-SA"/>
              </w:rPr>
            </w:pPr>
          </w:p>
        </w:tc>
      </w:tr>
    </w:tbl>
    <w:p w14:paraId="40A14E61">
      <w:pPr>
        <w:bidi w:val="0"/>
        <w:rPr>
          <w:rFonts w:hint="eastAsia" w:ascii="宋体" w:hAnsi="宋体" w:eastAsia="宋体" w:cs="宋体"/>
          <w:bCs/>
          <w:kern w:val="2"/>
          <w:sz w:val="24"/>
          <w:szCs w:val="24"/>
          <w:highlight w:val="none"/>
          <w:shd w:val="clear" w:color="auto" w:fill="FFFFFF" w:themeFill="background1"/>
          <w:lang w:val="en-US" w:eastAsia="zh-CN" w:bidi="ar-SA"/>
        </w:rPr>
      </w:pP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939"/>
        <w:gridCol w:w="1208"/>
        <w:gridCol w:w="3467"/>
      </w:tblGrid>
      <w:tr w14:paraId="01FB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5000" w:type="pct"/>
            <w:gridSpan w:val="4"/>
            <w:vAlign w:val="center"/>
          </w:tcPr>
          <w:p w14:paraId="06A4DF44">
            <w:pPr>
              <w:spacing w:line="240" w:lineRule="auto"/>
              <w:ind w:firstLine="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小教室智能空开系统</w:t>
            </w:r>
          </w:p>
        </w:tc>
      </w:tr>
      <w:tr w14:paraId="102A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1" w:type="pct"/>
            <w:vAlign w:val="center"/>
          </w:tcPr>
          <w:p w14:paraId="4C3D2C79">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序号</w:t>
            </w:r>
          </w:p>
        </w:tc>
        <w:tc>
          <w:tcPr>
            <w:tcW w:w="1725" w:type="pct"/>
            <w:vAlign w:val="center"/>
          </w:tcPr>
          <w:p w14:paraId="7B25BDFF">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产品名称</w:t>
            </w:r>
          </w:p>
        </w:tc>
        <w:tc>
          <w:tcPr>
            <w:tcW w:w="709" w:type="pct"/>
            <w:vAlign w:val="center"/>
          </w:tcPr>
          <w:p w14:paraId="6F33EA68">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数量</w:t>
            </w:r>
          </w:p>
        </w:tc>
        <w:tc>
          <w:tcPr>
            <w:tcW w:w="2034" w:type="pct"/>
            <w:vAlign w:val="center"/>
          </w:tcPr>
          <w:p w14:paraId="3E0B616B">
            <w:pPr>
              <w:spacing w:line="240" w:lineRule="auto"/>
              <w:ind w:right="57" w:rightChars="0" w:firstLine="0" w:firstLineChars="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备注</w:t>
            </w:r>
          </w:p>
        </w:tc>
      </w:tr>
      <w:tr w14:paraId="01A3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1" w:type="pct"/>
            <w:vAlign w:val="center"/>
          </w:tcPr>
          <w:p w14:paraId="291855E4">
            <w:pPr>
              <w:spacing w:line="240" w:lineRule="auto"/>
              <w:ind w:firstLine="0"/>
              <w:jc w:val="left"/>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1</w:t>
            </w:r>
          </w:p>
        </w:tc>
        <w:tc>
          <w:tcPr>
            <w:tcW w:w="1725" w:type="pct"/>
            <w:vAlign w:val="center"/>
          </w:tcPr>
          <w:p w14:paraId="6AAC8D11">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智能空开通信模组</w:t>
            </w:r>
          </w:p>
        </w:tc>
        <w:tc>
          <w:tcPr>
            <w:tcW w:w="709" w:type="pct"/>
            <w:vAlign w:val="center"/>
          </w:tcPr>
          <w:p w14:paraId="17481AAD">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63</w:t>
            </w:r>
          </w:p>
        </w:tc>
        <w:tc>
          <w:tcPr>
            <w:tcW w:w="2034" w:type="pct"/>
            <w:vAlign w:val="center"/>
          </w:tcPr>
          <w:p w14:paraId="00507BA1">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共63间教室</w:t>
            </w:r>
          </w:p>
        </w:tc>
      </w:tr>
      <w:tr w14:paraId="0845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05" w:type="dxa"/>
            <w:vAlign w:val="center"/>
          </w:tcPr>
          <w:p w14:paraId="71E52430">
            <w:pPr>
              <w:spacing w:line="240" w:lineRule="auto"/>
              <w:ind w:firstLine="0"/>
              <w:jc w:val="both"/>
              <w:rPr>
                <w:rFonts w:hint="default"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2</w:t>
            </w:r>
          </w:p>
        </w:tc>
        <w:tc>
          <w:tcPr>
            <w:tcW w:w="2939" w:type="dxa"/>
            <w:vAlign w:val="center"/>
          </w:tcPr>
          <w:p w14:paraId="530166F4">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智能空开1P32A</w:t>
            </w:r>
          </w:p>
        </w:tc>
        <w:tc>
          <w:tcPr>
            <w:tcW w:w="1208" w:type="dxa"/>
            <w:vAlign w:val="center"/>
          </w:tcPr>
          <w:p w14:paraId="635D2F18">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63</w:t>
            </w:r>
          </w:p>
        </w:tc>
        <w:tc>
          <w:tcPr>
            <w:tcW w:w="3467" w:type="dxa"/>
            <w:vAlign w:val="center"/>
          </w:tcPr>
          <w:p w14:paraId="2AD1D129">
            <w:pPr>
              <w:spacing w:line="240" w:lineRule="auto"/>
              <w:ind w:firstLine="0"/>
              <w:jc w:val="both"/>
              <w:rPr>
                <w:rFonts w:hint="default"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空调控制</w:t>
            </w:r>
          </w:p>
        </w:tc>
      </w:tr>
      <w:tr w14:paraId="10DE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1" w:type="pct"/>
            <w:vAlign w:val="center"/>
          </w:tcPr>
          <w:p w14:paraId="6B21BA41">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3</w:t>
            </w:r>
          </w:p>
        </w:tc>
        <w:tc>
          <w:tcPr>
            <w:tcW w:w="1725" w:type="pct"/>
            <w:shd w:val="clear" w:color="auto" w:fill="auto"/>
            <w:vAlign w:val="center"/>
          </w:tcPr>
          <w:p w14:paraId="7BB4A745">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智能空开2P63A</w:t>
            </w:r>
          </w:p>
        </w:tc>
        <w:tc>
          <w:tcPr>
            <w:tcW w:w="709" w:type="pct"/>
            <w:vAlign w:val="center"/>
          </w:tcPr>
          <w:p w14:paraId="38A02E04">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51</w:t>
            </w:r>
          </w:p>
        </w:tc>
        <w:tc>
          <w:tcPr>
            <w:tcW w:w="2034" w:type="pct"/>
            <w:vAlign w:val="center"/>
          </w:tcPr>
          <w:p w14:paraId="7DF43384">
            <w:pPr>
              <w:spacing w:line="240" w:lineRule="auto"/>
              <w:ind w:right="57" w:rightChars="0" w:firstLine="0" w:firstLineChars="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总开（1/2/3/5期）</w:t>
            </w:r>
          </w:p>
        </w:tc>
      </w:tr>
      <w:tr w14:paraId="25DF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1" w:type="pct"/>
            <w:vAlign w:val="center"/>
          </w:tcPr>
          <w:p w14:paraId="66067A53">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4</w:t>
            </w:r>
          </w:p>
        </w:tc>
        <w:tc>
          <w:tcPr>
            <w:tcW w:w="1725" w:type="pct"/>
            <w:shd w:val="clear" w:color="auto" w:fill="auto"/>
            <w:vAlign w:val="center"/>
          </w:tcPr>
          <w:p w14:paraId="790F131E">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智能空开3P63A</w:t>
            </w:r>
          </w:p>
        </w:tc>
        <w:tc>
          <w:tcPr>
            <w:tcW w:w="709" w:type="pct"/>
            <w:vAlign w:val="center"/>
          </w:tcPr>
          <w:p w14:paraId="7A564A02">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12</w:t>
            </w:r>
          </w:p>
        </w:tc>
        <w:tc>
          <w:tcPr>
            <w:tcW w:w="2034" w:type="pct"/>
            <w:vAlign w:val="center"/>
          </w:tcPr>
          <w:p w14:paraId="5F2A5DF2">
            <w:pPr>
              <w:spacing w:line="240" w:lineRule="auto"/>
              <w:ind w:right="57" w:rightChars="0" w:firstLine="0" w:firstLineChars="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三相电总开（4期）</w:t>
            </w:r>
          </w:p>
        </w:tc>
      </w:tr>
      <w:tr w14:paraId="7DB5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1" w:type="pct"/>
            <w:vAlign w:val="center"/>
          </w:tcPr>
          <w:p w14:paraId="006A60D3">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p>
        </w:tc>
        <w:tc>
          <w:tcPr>
            <w:tcW w:w="1725" w:type="pct"/>
            <w:shd w:val="clear" w:color="auto" w:fill="auto"/>
            <w:vAlign w:val="center"/>
          </w:tcPr>
          <w:p w14:paraId="499CDFE7">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r>
              <w:rPr>
                <w:rFonts w:hint="eastAsia" w:ascii="宋体" w:hAnsi="宋体" w:eastAsia="宋体" w:cs="宋体"/>
                <w:bCs/>
                <w:kern w:val="2"/>
                <w:sz w:val="24"/>
                <w:szCs w:val="24"/>
                <w:highlight w:val="none"/>
                <w:shd w:val="clear" w:color="auto" w:fill="FFFFFF" w:themeFill="background1"/>
                <w:lang w:val="en-US" w:eastAsia="zh-CN" w:bidi="ar-SA"/>
              </w:rPr>
              <w:t>合计</w:t>
            </w:r>
          </w:p>
        </w:tc>
        <w:tc>
          <w:tcPr>
            <w:tcW w:w="709" w:type="pct"/>
            <w:vAlign w:val="center"/>
          </w:tcPr>
          <w:p w14:paraId="587F3E40">
            <w:pPr>
              <w:spacing w:line="240" w:lineRule="auto"/>
              <w:ind w:firstLine="0"/>
              <w:jc w:val="both"/>
              <w:rPr>
                <w:rFonts w:hint="eastAsia" w:ascii="宋体" w:hAnsi="宋体" w:eastAsia="宋体" w:cs="宋体"/>
                <w:bCs/>
                <w:kern w:val="2"/>
                <w:sz w:val="24"/>
                <w:szCs w:val="24"/>
                <w:highlight w:val="none"/>
                <w:shd w:val="clear" w:color="auto" w:fill="FFFFFF" w:themeFill="background1"/>
                <w:lang w:val="en-US" w:eastAsia="zh-CN" w:bidi="ar-SA"/>
              </w:rPr>
            </w:pPr>
          </w:p>
        </w:tc>
        <w:tc>
          <w:tcPr>
            <w:tcW w:w="2034" w:type="pct"/>
            <w:vAlign w:val="center"/>
          </w:tcPr>
          <w:p w14:paraId="343C45D9">
            <w:pPr>
              <w:spacing w:line="240" w:lineRule="auto"/>
              <w:ind w:firstLine="0"/>
              <w:jc w:val="left"/>
              <w:rPr>
                <w:rFonts w:hint="eastAsia" w:ascii="宋体" w:hAnsi="宋体" w:eastAsia="宋体" w:cs="宋体"/>
                <w:bCs/>
                <w:kern w:val="2"/>
                <w:sz w:val="24"/>
                <w:szCs w:val="24"/>
                <w:highlight w:val="none"/>
                <w:shd w:val="clear" w:color="auto" w:fill="FFFFFF" w:themeFill="background1"/>
                <w:lang w:val="en-US" w:eastAsia="zh-CN" w:bidi="ar-SA"/>
              </w:rPr>
            </w:pPr>
          </w:p>
        </w:tc>
      </w:tr>
    </w:tbl>
    <w:p w14:paraId="36657567">
      <w:pPr>
        <w:numPr>
          <w:ilvl w:val="0"/>
          <w:numId w:val="0"/>
        </w:numPr>
        <w:spacing w:line="240" w:lineRule="auto"/>
        <w:ind w:right="57" w:rightChars="0"/>
        <w:jc w:val="left"/>
        <w:rPr>
          <w:rFonts w:hint="eastAsia" w:ascii="宋体" w:hAnsi="宋体" w:eastAsia="宋体" w:cs="宋体"/>
          <w:bCs/>
          <w:kern w:val="2"/>
          <w:sz w:val="24"/>
          <w:szCs w:val="24"/>
          <w:highlight w:val="none"/>
          <w:shd w:val="clear" w:color="auto" w:fill="FFFFFF" w:themeFill="background1"/>
          <w:lang w:val="en-US" w:eastAsia="zh-CN" w:bidi="ar-SA"/>
        </w:rPr>
      </w:pPr>
    </w:p>
    <w:p w14:paraId="226B2AD4">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kern w:val="0"/>
          <w:sz w:val="24"/>
          <w:szCs w:val="24"/>
          <w:lang w:val="en-US" w:eastAsia="zh-CN"/>
        </w:rPr>
        <w:t>说明：</w:t>
      </w:r>
      <w:r>
        <w:rPr>
          <w:rFonts w:hint="eastAsia" w:ascii="宋体" w:hAnsi="宋体" w:eastAsia="宋体" w:cs="宋体"/>
          <w:bCs/>
          <w:color w:val="auto"/>
          <w:sz w:val="24"/>
          <w:szCs w:val="24"/>
          <w:highlight w:val="none"/>
          <w:lang w:val="en-US" w:eastAsia="zh-CN"/>
        </w:rPr>
        <w:t>A栋教学楼教室以及部分B栋教学楼的大教室无配电箱，新增智能空开须增加配电箱，B栋教学楼的小教室无风扇开关。</w:t>
      </w:r>
    </w:p>
    <w:p w14:paraId="7374A5CD">
      <w:pPr>
        <w:pStyle w:val="2"/>
        <w:spacing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lang w:eastAsia="zh-CN"/>
        </w:rPr>
        <w:t>四</w:t>
      </w:r>
      <w:r>
        <w:rPr>
          <w:rFonts w:hint="eastAsia" w:ascii="宋体" w:hAnsi="宋体" w:eastAsia="宋体" w:cs="宋体"/>
          <w:bCs w:val="0"/>
          <w:color w:val="auto"/>
          <w:sz w:val="24"/>
          <w:szCs w:val="24"/>
          <w:highlight w:val="none"/>
        </w:rPr>
        <w:t>、安装调试、质保及售后服务要求</w:t>
      </w:r>
    </w:p>
    <w:p w14:paraId="7329D2FB">
      <w:pPr>
        <w:spacing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1、安装调试要求：所有设备均应按出厂标准及国家有关要求进行包装及运输，送货至采购人指定的交货地点，由中标人负责派人负责设备的现场安装和调试</w:t>
      </w:r>
      <w:r>
        <w:rPr>
          <w:rFonts w:hint="eastAsia" w:ascii="宋体" w:hAnsi="宋体" w:eastAsia="宋体" w:cs="宋体"/>
          <w:bCs/>
          <w:color w:val="auto"/>
          <w:sz w:val="24"/>
          <w:szCs w:val="24"/>
          <w:highlight w:val="none"/>
          <w:lang w:eastAsia="zh-CN"/>
        </w:rPr>
        <w:t>，吊顶，清洗，运维，包含在本次</w:t>
      </w: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lang w:eastAsia="zh-CN"/>
        </w:rPr>
        <w:t>内容中。</w:t>
      </w:r>
    </w:p>
    <w:p w14:paraId="00EE4E15">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2、售后服务要求：</w:t>
      </w:r>
    </w:p>
    <w:p w14:paraId="64CEAF4E">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（1）中标人对合同货物的质量保修期为：自项目终验合格之日起3年。</w:t>
      </w:r>
    </w:p>
    <w:p w14:paraId="77C16795">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（2）中标人在合同货物的质量保修期内，免费为采购人提供合同货物的技术指导和维修服务，服务的时间是：每周7天×24小时。</w:t>
      </w:r>
    </w:p>
    <w:p w14:paraId="4771C328">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中标人在质保期内合同货物出现故障和缺陷时，或接到采购人提出的技术服务要求后1小时内予以答复，如采购人有要求或必要时，中标人应在接到采购人通知后24小时内派员至采购人处免费维修和提供现场指导。</w:t>
      </w:r>
    </w:p>
    <w:p w14:paraId="4D3E3141">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如中标人在接到采购人提出的技术服务要求或维修通知后2小时内没有响应、拒绝或没有派员到达采购人提供技术服务、修理或退换货物，采购人有权委托第三方对合同货物进行维修或提供技术服务，因此产生的相关费用由中标人承担。</w:t>
      </w:r>
    </w:p>
    <w:p w14:paraId="2BC7F33B">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）在合同货物保修期届满后，如果因合同货物硬件或软件的固有缺陷和瑕疵出现紧急故障和事故，中标人应在接到采购人通知之后24小时内到达现场。</w:t>
      </w:r>
    </w:p>
    <w:p w14:paraId="7E82BB3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）项目验收后，根据采购人的请求，中标人应当为采购人指定的人员提供培训，并向采购人提供培训相关资料。</w:t>
      </w:r>
    </w:p>
    <w:p w14:paraId="5DBC0754">
      <w:pPr>
        <w:pStyle w:val="2"/>
        <w:spacing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lang w:val="en-US" w:eastAsia="zh-CN"/>
        </w:rPr>
        <w:t>五</w:t>
      </w:r>
      <w:r>
        <w:rPr>
          <w:rFonts w:hint="eastAsia" w:ascii="宋体" w:hAnsi="宋体" w:eastAsia="宋体" w:cs="宋体"/>
          <w:bCs w:val="0"/>
          <w:color w:val="auto"/>
          <w:sz w:val="24"/>
          <w:szCs w:val="24"/>
          <w:highlight w:val="none"/>
        </w:rPr>
        <w:t>、报价要求</w:t>
      </w:r>
    </w:p>
    <w:p w14:paraId="67E37FE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本项目报投标总价，报价包含完成本项目的所有费用。</w:t>
      </w:r>
      <w:r>
        <w:rPr>
          <w:rFonts w:hint="eastAsia" w:ascii="宋体" w:hAnsi="宋体" w:eastAsia="宋体" w:cs="宋体"/>
          <w:bCs/>
          <w:color w:val="auto"/>
          <w:sz w:val="24"/>
          <w:szCs w:val="24"/>
          <w:highlight w:val="none"/>
          <w:lang w:val="en-US" w:eastAsia="zh-CN"/>
        </w:rPr>
        <w:t xml:space="preserve">本项目报价含设备的采购、安装、调试、检测、维修保养费用以及所有的材料费、人工费和税费等完成所投包别的一切费用。投标人根据实际情况自行勘察现场，报价后均视为已知晓现场情况，投标人需谨慎报价。 </w:t>
      </w:r>
    </w:p>
    <w:p w14:paraId="66C2E242">
      <w:pPr>
        <w:pStyle w:val="2"/>
        <w:spacing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lang w:val="en-US" w:eastAsia="zh-CN"/>
        </w:rPr>
        <w:t>六</w:t>
      </w:r>
      <w:r>
        <w:rPr>
          <w:rFonts w:hint="eastAsia" w:ascii="宋体" w:hAnsi="宋体" w:eastAsia="宋体" w:cs="宋体"/>
          <w:bCs w:val="0"/>
          <w:color w:val="auto"/>
          <w:sz w:val="24"/>
          <w:szCs w:val="24"/>
          <w:highlight w:val="none"/>
        </w:rPr>
        <w:t>、其他要求</w:t>
      </w:r>
    </w:p>
    <w:p w14:paraId="189934E6">
      <w:pPr>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包装和运输要求：中标人交付的全部货物，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中标人承担。</w:t>
      </w:r>
    </w:p>
    <w:p w14:paraId="23E50735">
      <w:pPr>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2、验收要求：货物交付前，中标人应对货物的质量、数量等方面进行详细、全面的检验，并向甲方出具证明货物符合合同约定的文件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货物交付时，中标人在约定时间内组织验收，并可依法邀请相关方参加，验收应出具验收书。</w:t>
      </w:r>
    </w:p>
    <w:p w14:paraId="79D8BA6E">
      <w:pPr>
        <w:spacing w:line="360" w:lineRule="auto"/>
        <w:ind w:firstLine="437"/>
        <w:rPr>
          <w:rFonts w:hint="eastAsia" w:ascii="宋体" w:hAnsi="宋体" w:eastAsia="宋体"/>
          <w:bCs/>
          <w:sz w:val="24"/>
          <w:szCs w:val="18"/>
          <w:highlight w:val="none"/>
        </w:rPr>
      </w:pPr>
      <w:r>
        <w:rPr>
          <w:rFonts w:hint="eastAsia" w:ascii="宋体" w:hAnsi="宋体" w:eastAsia="宋体" w:cs="宋体"/>
          <w:bCs/>
          <w:color w:val="auto"/>
          <w:sz w:val="24"/>
          <w:szCs w:val="24"/>
          <w:highlight w:val="none"/>
          <w:lang w:val="en-US" w:eastAsia="zh-CN"/>
        </w:rPr>
        <w:t>3、所投产品若含有国家强制性要求的，必须符合国家现行的规定和要求</w:t>
      </w:r>
      <w:r>
        <w:rPr>
          <w:rFonts w:hint="eastAsia" w:ascii="宋体" w:hAnsi="宋体" w:eastAsia="宋体"/>
          <w:bCs/>
          <w:sz w:val="24"/>
          <w:szCs w:val="18"/>
          <w:highlight w:val="none"/>
        </w:rPr>
        <w:t>。</w:t>
      </w:r>
    </w:p>
    <w:p w14:paraId="3462AB56">
      <w:pPr>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4、所投空调产品须满足一级能效</w:t>
      </w:r>
      <w:r>
        <w:rPr>
          <w:rFonts w:hint="eastAsia" w:ascii="宋体" w:hAnsi="宋体" w:eastAsia="宋体" w:cs="宋体"/>
          <w:bCs/>
          <w:color w:val="auto"/>
          <w:sz w:val="24"/>
          <w:szCs w:val="24"/>
          <w:highlight w:val="none"/>
        </w:rPr>
        <w:t>。</w:t>
      </w:r>
    </w:p>
    <w:p w14:paraId="4FF831E8">
      <w:pPr>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5采购人有权在到货之后（货物安装之前）对中标人所投产品进行送检，相关费用由中标人承担。若送检产品不合格，直接取消中标资格。</w:t>
      </w:r>
    </w:p>
    <w:p w14:paraId="7578EB3E">
      <w:pPr>
        <w:spacing w:line="360" w:lineRule="auto"/>
        <w:ind w:firstLine="480" w:firstLineChars="200"/>
        <w:jc w:val="left"/>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6、投标人须提供空调管理平台，并开放API接口，并兼容学校已有平台对接。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846822"/>
    <w:multiLevelType w:val="singleLevel"/>
    <w:tmpl w:val="0E846822"/>
    <w:lvl w:ilvl="0" w:tentative="0">
      <w:start w:val="1"/>
      <w:numFmt w:val="decimal"/>
      <w:lvlText w:val="%1."/>
      <w:lvlJc w:val="left"/>
      <w:pPr>
        <w:tabs>
          <w:tab w:val="left" w:pos="312"/>
        </w:tabs>
      </w:pPr>
    </w:lvl>
  </w:abstractNum>
  <w:abstractNum w:abstractNumId="1">
    <w:nsid w:val="40B77036"/>
    <w:multiLevelType w:val="singleLevel"/>
    <w:tmpl w:val="40B7703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5159B"/>
    <w:rsid w:val="0C8922DE"/>
    <w:rsid w:val="2345159B"/>
    <w:rsid w:val="40C477AB"/>
    <w:rsid w:val="43382D23"/>
    <w:rsid w:val="4C1B2975"/>
    <w:rsid w:val="527F1783"/>
    <w:rsid w:val="545D5AF4"/>
    <w:rsid w:val="5A887AAD"/>
    <w:rsid w:val="5E580030"/>
    <w:rsid w:val="6536516F"/>
    <w:rsid w:val="74677C8A"/>
    <w:rsid w:val="7C00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next w:val="5"/>
    <w:qFormat/>
    <w:uiPriority w:val="99"/>
    <w:pPr>
      <w:snapToGrid w:val="0"/>
    </w:pPr>
    <w:rPr>
      <w:rFonts w:ascii="Arial" w:hAnsi="Arial" w:cs="Arial"/>
    </w:rPr>
  </w:style>
  <w:style w:type="paragraph" w:styleId="5">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unhideWhenUsed/>
    <w:qFormat/>
    <w:uiPriority w:val="99"/>
    <w:pPr>
      <w:ind w:left="420" w:firstLine="420" w:firstLineChars="200"/>
    </w:pPr>
    <w:rPr>
      <w:rFonts w:ascii="Times New Roman" w:cs="Times New Roman"/>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5506</Words>
  <Characters>6060</Characters>
  <Lines>0</Lines>
  <Paragraphs>0</Paragraphs>
  <TotalTime>9</TotalTime>
  <ScaleCrop>false</ScaleCrop>
  <LinksUpToDate>false</LinksUpToDate>
  <CharactersWithSpaces>6065</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2026-06-26T08:25:00Z</dcterms:created>
  <dc:creator>Vincent</dc:creator>
  <cp:lastModifiedBy>seewo</cp:lastModifiedBy>
  <dcterms:modified xsi:type="dcterms:W3CDTF">2026-06-26T09:19:06Z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056C956483F44E549387CA50688FEDB4_11</vt:lpwstr>
  </property>
  <property fmtid="{D5CDD505-2E9C-101B-9397-08002B2CF9AE}" pid="4" name="KSOTemplateDocerSaveRecord">
    <vt:lpwstr>eyJoZGlkIjoiNzc3NWI5NjdjNjQ5NTA0ODIxZmM1NWUzNTc5ZjEzZjMifQ==</vt:lpwstr>
  </property>
</Properties>
</file>